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left="31680" w:hanging="2891" w:hangingChars="800"/>
        <w:jc w:val="center"/>
        <w:rPr>
          <w:rStyle w:val="9"/>
          <w:rFonts w:hAnsi="Calibri"/>
          <w:b/>
          <w:bCs/>
        </w:rPr>
      </w:pPr>
    </w:p>
    <w:p>
      <w:pPr>
        <w:ind w:left="31680" w:hanging="2891" w:hangingChars="800"/>
        <w:jc w:val="center"/>
        <w:rPr>
          <w:rStyle w:val="9"/>
          <w:rFonts w:hAnsi="Calibri"/>
          <w:b/>
          <w:bCs/>
        </w:rPr>
      </w:pPr>
      <w:r>
        <w:rPr>
          <w:rStyle w:val="9"/>
          <w:rFonts w:hint="eastAsia"/>
          <w:b/>
          <w:bCs/>
        </w:rPr>
        <w:t>《食品安全地方标准</w:t>
      </w:r>
      <w:r>
        <w:rPr>
          <w:rStyle w:val="9"/>
          <w:b/>
          <w:bCs/>
        </w:rPr>
        <w:t xml:space="preserve"> </w:t>
      </w:r>
      <w:bookmarkStart w:id="0" w:name="OLE_LINK1"/>
      <w:r>
        <w:rPr>
          <w:rStyle w:val="9"/>
          <w:rFonts w:hint="eastAsia"/>
          <w:b/>
          <w:bCs/>
        </w:rPr>
        <w:t>木薯粉条</w:t>
      </w:r>
      <w:bookmarkEnd w:id="0"/>
      <w:r>
        <w:rPr>
          <w:rStyle w:val="9"/>
          <w:rFonts w:hint="eastAsia"/>
          <w:b/>
          <w:bCs/>
        </w:rPr>
        <w:t>》（</w:t>
      </w:r>
      <w:r>
        <w:rPr>
          <w:rStyle w:val="9"/>
          <w:rFonts w:hint="eastAsia"/>
          <w:b/>
          <w:bCs/>
          <w:lang w:val="en-US" w:eastAsia="zh-CN"/>
        </w:rPr>
        <w:t>征求意见</w:t>
      </w:r>
      <w:r>
        <w:rPr>
          <w:rStyle w:val="9"/>
          <w:rFonts w:hint="eastAsia"/>
          <w:b/>
          <w:bCs/>
        </w:rPr>
        <w:t>稿）</w:t>
      </w:r>
    </w:p>
    <w:p>
      <w:pPr>
        <w:ind w:left="31680" w:hanging="2891" w:hangingChars="800"/>
        <w:jc w:val="center"/>
        <w:rPr>
          <w:rStyle w:val="9"/>
          <w:rFonts w:hAnsi="Calibri"/>
          <w:b/>
          <w:bCs/>
        </w:rPr>
      </w:pPr>
      <w:r>
        <w:rPr>
          <w:rStyle w:val="9"/>
          <w:rFonts w:hint="eastAsia"/>
          <w:b/>
          <w:bCs/>
        </w:rPr>
        <w:t>编制说明</w:t>
      </w:r>
    </w:p>
    <w:p>
      <w:pPr>
        <w:ind w:left="31680" w:hanging="2880" w:hangingChars="800"/>
        <w:jc w:val="center"/>
        <w:rPr>
          <w:rFonts w:ascii="宋体" w:cs="宋体"/>
          <w:sz w:val="36"/>
          <w:szCs w:val="36"/>
        </w:rPr>
      </w:pPr>
    </w:p>
    <w:p>
      <w:pPr>
        <w:rPr>
          <w:rFonts w:ascii="楷体_GB2312" w:eastAsia="楷体_GB2312" w:cs="宋体"/>
          <w:sz w:val="24"/>
        </w:rPr>
      </w:pPr>
      <w:r>
        <w:rPr>
          <w:rFonts w:hint="eastAsia" w:ascii="楷体_GB2312" w:hAnsi="宋体" w:eastAsia="楷体_GB2312" w:cs="黑体"/>
          <w:color w:val="000000"/>
          <w:sz w:val="32"/>
          <w:szCs w:val="32"/>
        </w:rPr>
        <w:t>一、标准编制背景</w:t>
      </w:r>
      <w:r>
        <w:rPr>
          <w:rFonts w:ascii="楷体_GB2312" w:hAnsi="宋体" w:eastAsia="楷体_GB2312" w:cs="宋体"/>
          <w:sz w:val="24"/>
        </w:rPr>
        <w:t xml:space="preserve"> 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木薯粉条以食用木薯淀粉为主要原料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（</w:t>
      </w:r>
      <w:r>
        <w:rPr>
          <w:rFonts w:hint="default" w:ascii="Arial" w:hAnsi="Arial" w:eastAsia="仿宋_GB2312" w:cs="Arial"/>
          <w:sz w:val="32"/>
          <w:szCs w:val="32"/>
          <w:lang w:eastAsia="zh-CN"/>
        </w:rPr>
        <w:t>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60%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宋体"/>
          <w:sz w:val="32"/>
          <w:szCs w:val="32"/>
        </w:rPr>
        <w:t>，添加或不添加其它食用淀粉、果蔬汁、食用盐、食品添加剂等，经和浆（打糊）、成型、冷却、干燥（或不干燥）、包装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或不包装</w:t>
      </w:r>
      <w:r>
        <w:rPr>
          <w:rFonts w:hint="eastAsia" w:ascii="仿宋_GB2312" w:hAnsi="宋体" w:eastAsia="仿宋_GB2312" w:cs="宋体"/>
          <w:sz w:val="32"/>
          <w:szCs w:val="32"/>
        </w:rPr>
        <w:t>等工序制成的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条状或丝状非即食性食品</w:t>
      </w:r>
      <w:r>
        <w:rPr>
          <w:rFonts w:hint="eastAsia" w:ascii="仿宋_GB2312" w:hAnsi="宋体" w:eastAsia="仿宋_GB2312" w:cs="宋体"/>
          <w:sz w:val="32"/>
          <w:szCs w:val="32"/>
        </w:rPr>
        <w:t>。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我省</w:t>
      </w:r>
      <w:r>
        <w:rPr>
          <w:rFonts w:hint="eastAsia" w:ascii="仿宋_GB2312" w:hAnsi="宋体" w:eastAsia="仿宋_GB2312" w:cs="宋体"/>
          <w:sz w:val="32"/>
          <w:szCs w:val="32"/>
        </w:rPr>
        <w:t>木薯粉条生产企业较多，据统计已取得生产许可证的生产企业近</w:t>
      </w:r>
      <w:r>
        <w:rPr>
          <w:rFonts w:ascii="仿宋_GB2312" w:hAnsi="宋体" w:eastAsia="仿宋_GB2312" w:cs="宋体"/>
          <w:sz w:val="32"/>
          <w:szCs w:val="32"/>
        </w:rPr>
        <w:t>120</w:t>
      </w:r>
      <w:r>
        <w:rPr>
          <w:rFonts w:hint="eastAsia" w:ascii="仿宋_GB2312" w:hAnsi="宋体" w:eastAsia="仿宋_GB2312" w:cs="宋体"/>
          <w:sz w:val="32"/>
          <w:szCs w:val="32"/>
        </w:rPr>
        <w:t>家，有区域性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特点。经查询检索，目前尚未查到有关“木薯粉条”的国外标准。目前国内有关粉条的标准有</w:t>
      </w:r>
      <w:r>
        <w:rPr>
          <w:rFonts w:ascii="仿宋_GB2312" w:hAnsi="宋体" w:eastAsia="仿宋_GB2312" w:cs="宋体"/>
          <w:color w:val="000000"/>
          <w:sz w:val="32"/>
          <w:szCs w:val="32"/>
        </w:rPr>
        <w:t>GB/T 23587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《粉条》，</w:t>
      </w:r>
      <w:r>
        <w:rPr>
          <w:rFonts w:ascii="仿宋_GB2312" w:hAnsi="宋体" w:eastAsia="仿宋_GB2312" w:cs="宋体"/>
          <w:color w:val="000000"/>
          <w:sz w:val="32"/>
          <w:szCs w:val="32"/>
        </w:rPr>
        <w:t>GB 2713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《食品安全标准</w:t>
      </w:r>
      <w:r>
        <w:rPr>
          <w:rFonts w:ascii="仿宋_GB2312" w:hAnsi="宋体" w:eastAsia="仿宋_GB2312" w:cs="宋体"/>
          <w:color w:val="00000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淀粉制品》，</w:t>
      </w:r>
      <w:r>
        <w:rPr>
          <w:rFonts w:ascii="仿宋_GB2312" w:hAnsi="宋体" w:eastAsia="仿宋_GB2312" w:cs="宋体"/>
          <w:color w:val="000000"/>
          <w:sz w:val="32"/>
          <w:szCs w:val="32"/>
        </w:rPr>
        <w:t>GB/T 19852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《地理标志产品</w:t>
      </w:r>
      <w:r>
        <w:rPr>
          <w:rFonts w:ascii="仿宋_GB2312" w:hAnsi="宋体" w:eastAsia="仿宋_GB2312" w:cs="宋体"/>
          <w:color w:val="00000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卢龙粉丝》，</w:t>
      </w:r>
      <w:r>
        <w:rPr>
          <w:rFonts w:ascii="仿宋_GB2312" w:hAnsi="宋体" w:eastAsia="仿宋_GB2312" w:cs="宋体"/>
          <w:color w:val="000000"/>
          <w:sz w:val="32"/>
          <w:szCs w:val="32"/>
        </w:rPr>
        <w:t>GB/T 19048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《地理标志产品</w:t>
      </w:r>
      <w:r>
        <w:rPr>
          <w:rFonts w:ascii="仿宋_GB2312" w:hAnsi="宋体" w:eastAsia="仿宋_GB2312" w:cs="宋体"/>
          <w:color w:val="00000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龙口粉丝》，</w:t>
      </w:r>
      <w:r>
        <w:rPr>
          <w:rFonts w:ascii="仿宋_GB2312" w:hAnsi="宋体" w:eastAsia="仿宋_GB2312" w:cs="宋体"/>
          <w:color w:val="000000"/>
          <w:sz w:val="32"/>
          <w:szCs w:val="32"/>
        </w:rPr>
        <w:t>DB52/T 939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《地理标志产品</w:t>
      </w:r>
      <w:r>
        <w:rPr>
          <w:rFonts w:ascii="仿宋_GB2312" w:hAnsi="宋体" w:eastAsia="仿宋_GB2312" w:cs="宋体"/>
          <w:color w:val="00000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铜仁红薯粉丝》等。国内目前尚无“木薯粉条”产品标准和</w:t>
      </w:r>
      <w:bookmarkStart w:id="1" w:name="OLE_LINK6"/>
      <w:r>
        <w:rPr>
          <w:rFonts w:hint="eastAsia" w:ascii="仿宋_GB2312" w:hAnsi="宋体" w:eastAsia="仿宋_GB2312" w:cs="宋体"/>
          <w:color w:val="000000"/>
          <w:sz w:val="32"/>
          <w:szCs w:val="32"/>
        </w:rPr>
        <w:t>河北省食品安全地方标准</w:t>
      </w:r>
      <w:bookmarkEnd w:id="1"/>
      <w:r>
        <w:rPr>
          <w:rFonts w:hint="eastAsia" w:ascii="仿宋_GB2312" w:hAnsi="宋体" w:eastAsia="仿宋_GB2312" w:cs="宋体"/>
          <w:color w:val="000000"/>
          <w:sz w:val="32"/>
          <w:szCs w:val="32"/>
        </w:rPr>
        <w:t>。</w:t>
      </w:r>
      <w:r>
        <w:rPr>
          <w:rFonts w:ascii="仿宋_GB2312" w:hAnsi="宋体" w:eastAsia="仿宋_GB2312" w:cs="宋体"/>
          <w:color w:val="000000"/>
          <w:sz w:val="32"/>
          <w:szCs w:val="32"/>
        </w:rPr>
        <w:t>GB/T 23587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《粉条》</w:t>
      </w:r>
      <w:r>
        <w:rPr>
          <w:rFonts w:hint="eastAsia" w:ascii="仿宋_GB2312" w:hAnsi="宋体" w:eastAsia="仿宋_GB2312" w:cs="宋体"/>
          <w:sz w:val="32"/>
          <w:szCs w:val="32"/>
        </w:rPr>
        <w:t>标准中粉条的定义是“以红薯淀粉或马铃薯淀粉或豆类淀粉为主要原料，经和浆（打糊）、成型（漏粉）、冷却、干燥或不干燥（冷藏或冷冻）等工序制成的条状或丝状非即食性食品”。这个标准中未规定可以使用木薯淀粉作为主要原料生产粉条，因此</w:t>
      </w:r>
      <w:r>
        <w:rPr>
          <w:rFonts w:ascii="仿宋_GB2312" w:hAnsi="宋体" w:eastAsia="仿宋_GB2312" w:cs="宋体"/>
          <w:sz w:val="32"/>
          <w:szCs w:val="32"/>
        </w:rPr>
        <w:t>GB/T 23587</w:t>
      </w:r>
      <w:bookmarkStart w:id="2" w:name="OLE_LINK5"/>
      <w:r>
        <w:rPr>
          <w:rFonts w:hint="eastAsia" w:ascii="仿宋_GB2312" w:hAnsi="宋体" w:eastAsia="仿宋_GB2312" w:cs="宋体"/>
          <w:sz w:val="32"/>
          <w:szCs w:val="32"/>
        </w:rPr>
        <w:t>《粉条》标准不适用于木薯粉条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。</w:t>
      </w:r>
      <w:r>
        <w:rPr>
          <w:rFonts w:ascii="仿宋_GB2312" w:hAnsi="宋体" w:eastAsia="仿宋_GB2312" w:cs="宋体"/>
          <w:color w:val="000000"/>
          <w:sz w:val="32"/>
          <w:szCs w:val="32"/>
        </w:rPr>
        <w:t>GB 2713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《食品安全标准</w:t>
      </w:r>
      <w:r>
        <w:rPr>
          <w:rFonts w:ascii="仿宋_GB2312" w:hAnsi="宋体" w:eastAsia="仿宋_GB2312" w:cs="宋体"/>
          <w:color w:val="00000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淀粉制品》适用于木薯粉条，但是这个标准没有制定涉及木薯粉条质量安全和产品特征的水分、氢氰酸、灰分等理化指标，不便于企业组织生产</w:t>
      </w:r>
      <w:bookmarkEnd w:id="2"/>
      <w:r>
        <w:rPr>
          <w:rFonts w:hint="eastAsia" w:ascii="仿宋_GB2312" w:hAnsi="宋体" w:eastAsia="仿宋_GB2312" w:cs="宋体"/>
          <w:color w:val="000000"/>
          <w:sz w:val="32"/>
          <w:szCs w:val="32"/>
        </w:rPr>
        <w:t>。</w:t>
      </w:r>
      <w:r>
        <w:rPr>
          <w:rFonts w:hint="eastAsia" w:ascii="仿宋_GB2312" w:hAnsi="宋体" w:eastAsia="仿宋_GB2312" w:cs="宋体"/>
          <w:color w:val="000000"/>
          <w:sz w:val="32"/>
          <w:szCs w:val="32"/>
          <w:lang w:eastAsia="zh-CN"/>
        </w:rPr>
        <w:t>各生产企业为了组织生产自行制定企业标准，导致各生产企业的企标技术指标参差不齐，不利于监管。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为弥补国家标准的不足</w:t>
      </w:r>
      <w:r>
        <w:rPr>
          <w:rFonts w:hint="eastAsia" w:ascii="仿宋_GB2312" w:hAnsi="宋体" w:eastAsia="仿宋_GB2312" w:cs="宋体"/>
          <w:sz w:val="32"/>
          <w:szCs w:val="32"/>
        </w:rPr>
        <w:t>，进一步规范我省木薯粉条的生产、检验和销售，促进全省木薯粉条生产企业健康发展，确保该类产品食用安全，保障广大消费者身体健康，有必要制定统一的</w:t>
      </w:r>
      <w:r>
        <w:rPr>
          <w:rFonts w:hint="eastAsia" w:ascii="仿宋_GB2312" w:eastAsia="仿宋_GB2312" w:cs="宋体"/>
          <w:sz w:val="32"/>
          <w:szCs w:val="32"/>
        </w:rPr>
        <w:t>“</w:t>
      </w:r>
      <w:r>
        <w:rPr>
          <w:rFonts w:hint="eastAsia" w:ascii="仿宋_GB2312" w:hAnsi="宋体" w:eastAsia="仿宋_GB2312" w:cs="宋体"/>
          <w:sz w:val="32"/>
          <w:szCs w:val="32"/>
        </w:rPr>
        <w:t>木薯粉条</w:t>
      </w:r>
      <w:r>
        <w:rPr>
          <w:rFonts w:hint="eastAsia" w:ascii="仿宋_GB2312" w:eastAsia="仿宋_GB2312" w:cs="宋体"/>
          <w:sz w:val="32"/>
          <w:szCs w:val="32"/>
        </w:rPr>
        <w:t>”</w:t>
      </w:r>
      <w:r>
        <w:rPr>
          <w:rFonts w:hint="eastAsia" w:ascii="仿宋_GB2312" w:hAnsi="宋体" w:eastAsia="仿宋_GB2312" w:cs="宋体"/>
          <w:sz w:val="32"/>
          <w:szCs w:val="32"/>
        </w:rPr>
        <w:t>食品安全地方标准，同时也可以减少企业标准备案和行政管理成本。河北省《食品安全地方标准</w:t>
      </w:r>
      <w:r>
        <w:rPr>
          <w:rFonts w:ascii="仿宋_GB2312" w:hAnsi="宋体" w:eastAsia="仿宋_GB2312" w:cs="宋体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</w:rPr>
        <w:t>木薯粉条》立项建议由秦皇岛市食品药品检验中心提出，列入河北省卫生计生委</w:t>
      </w:r>
      <w:r>
        <w:rPr>
          <w:rFonts w:ascii="仿宋_GB2312" w:hAnsi="宋体" w:eastAsia="仿宋_GB2312" w:cs="宋体"/>
          <w:sz w:val="32"/>
          <w:szCs w:val="32"/>
        </w:rPr>
        <w:t xml:space="preserve"> 2017 </w:t>
      </w:r>
      <w:r>
        <w:rPr>
          <w:rFonts w:hint="eastAsia" w:ascii="仿宋_GB2312" w:hAnsi="宋体" w:eastAsia="仿宋_GB2312" w:cs="宋体"/>
          <w:sz w:val="32"/>
          <w:szCs w:val="32"/>
        </w:rPr>
        <w:t>年食品安全地方标准立项计划，</w:t>
      </w:r>
      <w:r>
        <w:rPr>
          <w:rFonts w:hint="eastAsia" w:ascii="仿宋_GB2312" w:hAnsi="宋体" w:eastAsia="仿宋_GB2312"/>
          <w:color w:val="000000"/>
          <w:kern w:val="0"/>
          <w:sz w:val="32"/>
          <w:szCs w:val="32"/>
        </w:rPr>
        <w:t>标准名称是《食品安全地方标准</w:t>
      </w:r>
      <w:r>
        <w:rPr>
          <w:rFonts w:ascii="仿宋_GB2312" w:hAnsi="宋体" w:eastAsia="仿宋_GB2312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color w:val="000000"/>
          <w:kern w:val="0"/>
          <w:sz w:val="32"/>
          <w:szCs w:val="32"/>
        </w:rPr>
        <w:t>木薯粉条》，其计划编号为</w:t>
      </w:r>
      <w:r>
        <w:rPr>
          <w:rFonts w:ascii="仿宋_GB2312" w:hAnsi="宋体" w:eastAsia="仿宋_GB2312"/>
          <w:color w:val="000000"/>
          <w:kern w:val="0"/>
          <w:sz w:val="32"/>
          <w:szCs w:val="32"/>
        </w:rPr>
        <w:t>DBS13/0</w:t>
      </w:r>
      <w:r>
        <w:rPr>
          <w:rFonts w:hint="eastAsia" w:ascii="仿宋_GB2312" w:hAnsi="宋体" w:eastAsia="仿宋_GB2312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ascii="仿宋_GB2312" w:hAnsi="宋体" w:eastAsia="仿宋_GB2312"/>
          <w:color w:val="000000"/>
          <w:kern w:val="0"/>
          <w:sz w:val="32"/>
          <w:szCs w:val="32"/>
        </w:rPr>
        <w:t>10-201</w:t>
      </w:r>
      <w:r>
        <w:rPr>
          <w:rFonts w:hint="eastAsia" w:ascii="仿宋_GB2312" w:hAnsi="宋体" w:eastAsia="仿宋_GB2312"/>
          <w:color w:val="000000"/>
          <w:kern w:val="0"/>
          <w:sz w:val="32"/>
          <w:szCs w:val="32"/>
          <w:lang w:val="en-US" w:eastAsia="zh-CN"/>
        </w:rPr>
        <w:t>7</w:t>
      </w:r>
      <w:bookmarkStart w:id="5" w:name="_GoBack"/>
      <w:bookmarkEnd w:id="5"/>
      <w:r>
        <w:rPr>
          <w:rFonts w:hint="eastAsia" w:ascii="仿宋_GB2312" w:hAnsi="宋体" w:eastAsia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宋体" w:eastAsia="仿宋_GB2312" w:cs="宋体"/>
          <w:sz w:val="32"/>
          <w:szCs w:val="32"/>
        </w:rPr>
        <w:t>自</w:t>
      </w:r>
      <w:r>
        <w:rPr>
          <w:rFonts w:ascii="仿宋_GB2312" w:hAnsi="宋体" w:eastAsia="仿宋_GB2312" w:cs="宋体"/>
          <w:sz w:val="32"/>
          <w:szCs w:val="32"/>
        </w:rPr>
        <w:t xml:space="preserve"> 2017 </w:t>
      </w:r>
      <w:r>
        <w:rPr>
          <w:rFonts w:hint="eastAsia" w:ascii="仿宋_GB2312" w:hAnsi="宋体" w:eastAsia="仿宋_GB2312" w:cs="宋体"/>
          <w:sz w:val="32"/>
          <w:szCs w:val="32"/>
        </w:rPr>
        <w:t>年</w:t>
      </w:r>
      <w:r>
        <w:rPr>
          <w:rFonts w:ascii="仿宋_GB2312" w:hAnsi="宋体" w:eastAsia="仿宋_GB2312" w:cs="宋体"/>
          <w:sz w:val="32"/>
          <w:szCs w:val="32"/>
        </w:rPr>
        <w:t>10</w:t>
      </w:r>
      <w:r>
        <w:rPr>
          <w:rFonts w:hint="eastAsia" w:ascii="仿宋_GB2312" w:hAnsi="宋体" w:eastAsia="仿宋_GB2312" w:cs="宋体"/>
          <w:sz w:val="32"/>
          <w:szCs w:val="32"/>
        </w:rPr>
        <w:t>月开始该项标准的编制起草工作。</w:t>
      </w:r>
      <w:r>
        <w:rPr>
          <w:rFonts w:ascii="仿宋_GB2312" w:hAnsi="宋体" w:eastAsia="仿宋_GB2312" w:cs="宋体"/>
          <w:sz w:val="32"/>
          <w:szCs w:val="32"/>
        </w:rPr>
        <w:t xml:space="preserve"> </w:t>
      </w:r>
    </w:p>
    <w:p>
      <w:pPr>
        <w:spacing w:beforeLines="50" w:afterLines="50" w:line="560" w:lineRule="exact"/>
        <w:rPr>
          <w:rFonts w:ascii="楷体_GB2312" w:hAnsi="宋体" w:eastAsia="楷体_GB2312" w:cs="黑体"/>
          <w:color w:val="000000"/>
          <w:sz w:val="32"/>
          <w:szCs w:val="32"/>
        </w:rPr>
      </w:pPr>
      <w:r>
        <w:rPr>
          <w:rFonts w:hint="eastAsia" w:ascii="楷体_GB2312" w:hAnsi="宋体" w:eastAsia="楷体_GB2312" w:cs="黑体"/>
          <w:color w:val="000000"/>
          <w:sz w:val="32"/>
          <w:szCs w:val="32"/>
        </w:rPr>
        <w:t>二、标准编制起草过程</w:t>
      </w:r>
      <w:r>
        <w:rPr>
          <w:rFonts w:ascii="楷体_GB2312" w:hAnsi="宋体" w:eastAsia="楷体_GB2312" w:cs="黑体"/>
          <w:color w:val="000000"/>
          <w:sz w:val="32"/>
          <w:szCs w:val="32"/>
        </w:rPr>
        <w:t xml:space="preserve"> </w:t>
      </w:r>
    </w:p>
    <w:p>
      <w:pPr>
        <w:spacing w:beforeLines="50" w:afterLines="50"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</w:rPr>
        <w:t>秦皇岛市食品药品检验中心作为木薯粉条标准制定项目承担单位，成立了编制起草组，成员共</w:t>
      </w:r>
      <w:r>
        <w:rPr>
          <w:rFonts w:ascii="仿宋_GB2312" w:hAnsi="宋体" w:eastAsia="仿宋_GB2312" w:cs="宋体"/>
          <w:sz w:val="32"/>
          <w:szCs w:val="32"/>
        </w:rPr>
        <w:t>9</w:t>
      </w:r>
      <w:r>
        <w:rPr>
          <w:rFonts w:hint="eastAsia" w:ascii="仿宋_GB2312" w:hAnsi="宋体" w:eastAsia="仿宋_GB2312" w:cs="宋体"/>
          <w:sz w:val="32"/>
          <w:szCs w:val="32"/>
        </w:rPr>
        <w:t>名，包括正高级工程师</w:t>
      </w:r>
      <w:r>
        <w:rPr>
          <w:rFonts w:ascii="仿宋_GB2312" w:hAnsi="宋体" w:eastAsia="仿宋_GB2312" w:cs="宋体"/>
          <w:sz w:val="32"/>
          <w:szCs w:val="32"/>
        </w:rPr>
        <w:t>1</w:t>
      </w:r>
      <w:r>
        <w:rPr>
          <w:rFonts w:hint="eastAsia" w:ascii="仿宋_GB2312" w:hAnsi="宋体" w:eastAsia="仿宋_GB2312" w:cs="宋体"/>
          <w:sz w:val="32"/>
          <w:szCs w:val="32"/>
        </w:rPr>
        <w:t>名、主任医师</w:t>
      </w:r>
      <w:r>
        <w:rPr>
          <w:rFonts w:ascii="仿宋_GB2312" w:hAnsi="宋体" w:eastAsia="仿宋_GB2312" w:cs="宋体"/>
          <w:sz w:val="32"/>
          <w:szCs w:val="32"/>
        </w:rPr>
        <w:t>1</w:t>
      </w:r>
      <w:r>
        <w:rPr>
          <w:rFonts w:hint="eastAsia" w:ascii="仿宋_GB2312" w:hAnsi="宋体" w:eastAsia="仿宋_GB2312" w:cs="宋体"/>
          <w:sz w:val="32"/>
          <w:szCs w:val="32"/>
        </w:rPr>
        <w:t>名、高级工程师</w:t>
      </w:r>
      <w:r>
        <w:rPr>
          <w:rFonts w:ascii="仿宋_GB2312" w:hAnsi="宋体" w:eastAsia="仿宋_GB2312" w:cs="宋体"/>
          <w:sz w:val="32"/>
          <w:szCs w:val="32"/>
        </w:rPr>
        <w:t>2</w:t>
      </w:r>
      <w:r>
        <w:rPr>
          <w:rFonts w:hint="eastAsia" w:ascii="仿宋_GB2312" w:hAnsi="宋体" w:eastAsia="仿宋_GB2312" w:cs="宋体"/>
          <w:sz w:val="32"/>
          <w:szCs w:val="32"/>
        </w:rPr>
        <w:t>名、工程师</w:t>
      </w:r>
      <w:r>
        <w:rPr>
          <w:rFonts w:ascii="仿宋_GB2312" w:hAnsi="宋体" w:eastAsia="仿宋_GB2312" w:cs="宋体"/>
          <w:sz w:val="32"/>
          <w:szCs w:val="32"/>
        </w:rPr>
        <w:t>2</w:t>
      </w:r>
      <w:r>
        <w:rPr>
          <w:rFonts w:hint="eastAsia" w:ascii="仿宋_GB2312" w:hAnsi="宋体" w:eastAsia="仿宋_GB2312" w:cs="宋体"/>
          <w:sz w:val="32"/>
          <w:szCs w:val="32"/>
        </w:rPr>
        <w:t>名、助理工程师</w:t>
      </w:r>
      <w:r>
        <w:rPr>
          <w:rFonts w:ascii="仿宋_GB2312" w:hAnsi="宋体" w:eastAsia="仿宋_GB2312" w:cs="宋体"/>
          <w:sz w:val="32"/>
          <w:szCs w:val="32"/>
        </w:rPr>
        <w:t>3</w:t>
      </w:r>
      <w:r>
        <w:rPr>
          <w:rFonts w:hint="eastAsia" w:ascii="仿宋_GB2312" w:hAnsi="宋体" w:eastAsia="仿宋_GB2312" w:cs="宋体"/>
          <w:sz w:val="32"/>
          <w:szCs w:val="32"/>
        </w:rPr>
        <w:t>名。编制起草组经过查阅国内外有关粉条的标准和文献资料，对河北省粉条生产企业现状进行了充分调研，进行立项必要性研究。调查和收集国内外关于粉条的加工情况和相关标准，包括已经发布的木薯粉条企业标准，调研生产企业的生产工艺和产品的品种情况，并广泛征求了生产加工企业的意见。</w:t>
      </w:r>
    </w:p>
    <w:p>
      <w:pPr>
        <w:spacing w:beforeLines="50" w:afterLines="50"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我中心于</w:t>
      </w:r>
      <w:r>
        <w:rPr>
          <w:rFonts w:ascii="仿宋_GB2312" w:hAnsi="宋体" w:eastAsia="仿宋_GB2312" w:cs="宋体"/>
          <w:sz w:val="32"/>
          <w:szCs w:val="32"/>
        </w:rPr>
        <w:t>2017</w:t>
      </w:r>
      <w:r>
        <w:rPr>
          <w:rFonts w:hint="eastAsia" w:ascii="仿宋_GB2312" w:hAnsi="宋体" w:eastAsia="仿宋_GB2312" w:cs="宋体"/>
          <w:sz w:val="32"/>
          <w:szCs w:val="32"/>
        </w:rPr>
        <w:t>年</w:t>
      </w:r>
      <w:r>
        <w:rPr>
          <w:rFonts w:ascii="仿宋_GB2312" w:hAnsi="宋体" w:eastAsia="仿宋_GB2312" w:cs="宋体"/>
          <w:sz w:val="32"/>
          <w:szCs w:val="32"/>
        </w:rPr>
        <w:t>7</w:t>
      </w:r>
      <w:r>
        <w:rPr>
          <w:rFonts w:hint="eastAsia" w:ascii="仿宋_GB2312" w:hAnsi="宋体" w:eastAsia="仿宋_GB2312" w:cs="宋体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向河北省卫生和计划生育委员会</w:t>
      </w:r>
      <w:r>
        <w:rPr>
          <w:rFonts w:hint="eastAsia" w:ascii="仿宋_GB2312" w:hAnsi="宋体" w:eastAsia="仿宋_GB2312" w:cs="宋体"/>
          <w:sz w:val="32"/>
          <w:szCs w:val="32"/>
        </w:rPr>
        <w:t>提交了立项申请书，在</w:t>
      </w:r>
      <w:r>
        <w:rPr>
          <w:rFonts w:ascii="仿宋_GB2312" w:hAnsi="宋体" w:eastAsia="仿宋_GB2312" w:cs="宋体"/>
          <w:sz w:val="32"/>
          <w:szCs w:val="32"/>
        </w:rPr>
        <w:t>2017</w:t>
      </w:r>
      <w:r>
        <w:rPr>
          <w:rFonts w:hint="eastAsia" w:ascii="仿宋_GB2312" w:hAnsi="宋体" w:eastAsia="仿宋_GB2312" w:cs="宋体"/>
          <w:sz w:val="32"/>
          <w:szCs w:val="32"/>
        </w:rPr>
        <w:t>年</w:t>
      </w:r>
      <w:r>
        <w:rPr>
          <w:rFonts w:ascii="仿宋_GB2312" w:hAnsi="宋体" w:eastAsia="仿宋_GB2312" w:cs="宋体"/>
          <w:sz w:val="32"/>
          <w:szCs w:val="32"/>
        </w:rPr>
        <w:t>8</w:t>
      </w:r>
      <w:r>
        <w:rPr>
          <w:rFonts w:hint="eastAsia" w:ascii="仿宋_GB2312" w:hAnsi="宋体" w:eastAsia="仿宋_GB2312" w:cs="宋体"/>
          <w:sz w:val="32"/>
          <w:szCs w:val="32"/>
        </w:rPr>
        <w:t>月召开的</w:t>
      </w:r>
      <w:r>
        <w:rPr>
          <w:rFonts w:ascii="仿宋_GB2312" w:hAnsi="宋体" w:eastAsia="仿宋_GB2312" w:cs="宋体"/>
          <w:sz w:val="32"/>
          <w:szCs w:val="32"/>
        </w:rPr>
        <w:t>2017</w:t>
      </w:r>
      <w:r>
        <w:rPr>
          <w:rFonts w:hint="eastAsia" w:ascii="仿宋_GB2312" w:hAnsi="宋体" w:eastAsia="仿宋_GB2312" w:cs="宋体"/>
          <w:sz w:val="32"/>
          <w:szCs w:val="32"/>
        </w:rPr>
        <w:t>年度河北省食品安全地方标准立项建议论证会上获得初步立项；</w:t>
      </w:r>
      <w:r>
        <w:rPr>
          <w:rFonts w:ascii="仿宋_GB2312" w:hAnsi="宋体" w:eastAsia="仿宋_GB2312" w:cs="宋体"/>
          <w:sz w:val="32"/>
          <w:szCs w:val="32"/>
        </w:rPr>
        <w:t>2017</w:t>
      </w:r>
      <w:r>
        <w:rPr>
          <w:rFonts w:hint="eastAsia" w:ascii="仿宋_GB2312" w:hAnsi="宋体" w:eastAsia="仿宋_GB2312" w:cs="宋体"/>
          <w:sz w:val="32"/>
          <w:szCs w:val="32"/>
        </w:rPr>
        <w:t>年</w:t>
      </w:r>
      <w:r>
        <w:rPr>
          <w:rFonts w:ascii="仿宋_GB2312" w:hAnsi="宋体" w:eastAsia="仿宋_GB2312" w:cs="宋体"/>
          <w:sz w:val="32"/>
          <w:szCs w:val="32"/>
        </w:rPr>
        <w:t>10</w:t>
      </w:r>
      <w:r>
        <w:rPr>
          <w:rFonts w:hint="eastAsia" w:ascii="仿宋_GB2312" w:hAnsi="宋体" w:eastAsia="仿宋_GB2312" w:cs="宋体"/>
          <w:sz w:val="32"/>
          <w:szCs w:val="32"/>
        </w:rPr>
        <w:t>月双方签订项目委托协议书。</w:t>
      </w:r>
    </w:p>
    <w:p>
      <w:pPr>
        <w:spacing w:beforeLines="50" w:afterLines="50"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立项后我中心对木薯粉条的生产工艺进行具体的分析和调研，确定工艺过程，对产品质量、原料质量进行了检验数据分析，对搜集到的资料、国内外标准（包括企业标准），进行数据分析和标准比对，筛选主要指标，确定数值范围，确定每个技术指标的检测方法；测定木薯粉条样品的各项指标，形成了标准初稿。对有代表性的样品，由本检验中心进行检测，每份样品检测水分、灰分、淀粉、氢氰酸、铅、黄曲霉毒素</w:t>
      </w:r>
      <w:r>
        <w:rPr>
          <w:rFonts w:ascii="仿宋_GB2312" w:hAnsi="宋体" w:eastAsia="仿宋_GB2312" w:cs="宋体"/>
          <w:sz w:val="32"/>
          <w:szCs w:val="32"/>
        </w:rPr>
        <w:t>B</w:t>
      </w:r>
      <w:r>
        <w:rPr>
          <w:rFonts w:ascii="仿宋_GB2312" w:hAnsi="宋体" w:eastAsia="仿宋_GB2312" w:cs="宋体"/>
          <w:sz w:val="32"/>
          <w:szCs w:val="32"/>
          <w:vertAlign w:val="subscript"/>
        </w:rPr>
        <w:t>1</w:t>
      </w:r>
      <w:r>
        <w:rPr>
          <w:rFonts w:hint="eastAsia" w:ascii="仿宋_GB2312" w:hAnsi="宋体" w:eastAsia="仿宋_GB2312" w:cs="宋体"/>
          <w:sz w:val="32"/>
          <w:szCs w:val="32"/>
        </w:rPr>
        <w:t>、铝等主要质量安全指标。对木薯粉条食品安全地方标准的适用范围、术语和定义、产品分类、技术要求、生产加工过程卫生要求、检验规则、标识、包装、贮存、运输、销售等做了具体规定。</w:t>
      </w:r>
    </w:p>
    <w:p>
      <w:pPr>
        <w:spacing w:beforeLines="50" w:afterLines="50"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主要起草人：张克义、刘锐萍、张印法、张利伟、王琳琳、孙雅君、朱娜、韩笑、刘珊珊。</w:t>
      </w:r>
    </w:p>
    <w:p>
      <w:pPr>
        <w:spacing w:beforeLines="50" w:afterLines="50" w:line="560" w:lineRule="exact"/>
        <w:rPr>
          <w:rFonts w:ascii="宋体" w:cs="宋体"/>
          <w:sz w:val="24"/>
        </w:rPr>
      </w:pPr>
      <w:r>
        <w:rPr>
          <w:rFonts w:hint="eastAsia" w:ascii="楷体_GB2312" w:hAnsi="宋体" w:eastAsia="楷体_GB2312" w:cs="黑体"/>
          <w:color w:val="000000"/>
          <w:sz w:val="32"/>
          <w:szCs w:val="32"/>
        </w:rPr>
        <w:t>三、与我国有关法律法规和其他标准的关系</w:t>
      </w:r>
      <w:r>
        <w:rPr>
          <w:rFonts w:ascii="楷体_GB2312" w:hAnsi="宋体" w:eastAsia="楷体_GB2312" w:cs="黑体"/>
          <w:color w:val="000000"/>
          <w:sz w:val="32"/>
          <w:szCs w:val="32"/>
        </w:rPr>
        <w:t xml:space="preserve"> </w:t>
      </w:r>
    </w:p>
    <w:p>
      <w:pPr>
        <w:spacing w:beforeLines="50" w:afterLines="50"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标准编制依据《中华人民共和国食品安全法》及其实施条例、《中华人民共和国标准化法》、《食品安全地方标准管理办法》、《食品安全地方标准制定及备案指南》、《河北省食品安全地方标准管理规定》等相关法律、法规、规章和规定；与强制性国家基础标准</w:t>
      </w:r>
      <w:r>
        <w:rPr>
          <w:rFonts w:ascii="仿宋_GB2312" w:hAnsi="宋体" w:eastAsia="仿宋_GB2312" w:cs="宋体"/>
          <w:sz w:val="32"/>
          <w:szCs w:val="32"/>
        </w:rPr>
        <w:t>GB 2760</w:t>
      </w:r>
      <w:r>
        <w:rPr>
          <w:rFonts w:hint="eastAsia" w:ascii="仿宋_GB2312" w:hAnsi="宋体" w:eastAsia="仿宋_GB2312" w:cs="宋体"/>
          <w:sz w:val="32"/>
          <w:szCs w:val="32"/>
        </w:rPr>
        <w:t>《食品安全国家标准</w:t>
      </w:r>
      <w:r>
        <w:rPr>
          <w:rFonts w:ascii="仿宋_GB2312" w:hAnsi="宋体" w:eastAsia="仿宋_GB2312" w:cs="宋体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</w:rPr>
        <w:t>食品添加剂使用标准》、</w:t>
      </w:r>
      <w:r>
        <w:rPr>
          <w:rFonts w:ascii="仿宋_GB2312" w:hAnsi="宋体" w:eastAsia="仿宋_GB2312" w:cs="宋体"/>
          <w:sz w:val="32"/>
          <w:szCs w:val="32"/>
        </w:rPr>
        <w:t>GB 2761</w:t>
      </w:r>
      <w:r>
        <w:rPr>
          <w:rFonts w:hint="eastAsia" w:ascii="仿宋_GB2312" w:hAnsi="宋体" w:eastAsia="仿宋_GB2312" w:cs="宋体"/>
          <w:sz w:val="32"/>
          <w:szCs w:val="32"/>
        </w:rPr>
        <w:t>《食品安全国家标准</w:t>
      </w:r>
      <w:r>
        <w:rPr>
          <w:rFonts w:ascii="仿宋_GB2312" w:hAnsi="宋体" w:eastAsia="仿宋_GB2312" w:cs="宋体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</w:rPr>
        <w:t>食品中真菌毒素限量》、</w:t>
      </w:r>
      <w:r>
        <w:rPr>
          <w:rFonts w:ascii="仿宋_GB2312" w:hAnsi="宋体" w:eastAsia="仿宋_GB2312" w:cs="宋体"/>
          <w:sz w:val="32"/>
          <w:szCs w:val="32"/>
        </w:rPr>
        <w:t>GB 2762</w:t>
      </w:r>
      <w:r>
        <w:rPr>
          <w:rFonts w:hint="eastAsia" w:ascii="仿宋_GB2312" w:hAnsi="宋体" w:eastAsia="仿宋_GB2312" w:cs="宋体"/>
          <w:sz w:val="32"/>
          <w:szCs w:val="32"/>
        </w:rPr>
        <w:t>《食品安全国家标准</w:t>
      </w:r>
      <w:r>
        <w:rPr>
          <w:rFonts w:ascii="仿宋_GB2312" w:hAnsi="宋体" w:eastAsia="仿宋_GB2312" w:cs="宋体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</w:rPr>
        <w:t>食品中污染物限量》、</w:t>
      </w:r>
      <w:r>
        <w:rPr>
          <w:rFonts w:ascii="仿宋_GB2312" w:hAnsi="宋体" w:eastAsia="仿宋_GB2312" w:cs="宋体"/>
          <w:sz w:val="32"/>
          <w:szCs w:val="32"/>
        </w:rPr>
        <w:t>GB 2763</w:t>
      </w:r>
      <w:r>
        <w:rPr>
          <w:rFonts w:hint="eastAsia" w:ascii="仿宋_GB2312" w:hAnsi="宋体" w:eastAsia="仿宋_GB2312" w:cs="宋体"/>
          <w:sz w:val="32"/>
          <w:szCs w:val="32"/>
        </w:rPr>
        <w:t>《食品安全国家标准</w:t>
      </w:r>
      <w:r>
        <w:rPr>
          <w:rFonts w:ascii="仿宋_GB2312" w:hAnsi="宋体" w:eastAsia="仿宋_GB2312" w:cs="宋体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</w:rPr>
        <w:t>食品中农药最大残留限量》、</w:t>
      </w:r>
      <w:r>
        <w:rPr>
          <w:rFonts w:ascii="仿宋_GB2312" w:hAnsi="宋体" w:eastAsia="仿宋_GB2312" w:cs="宋体"/>
          <w:sz w:val="32"/>
          <w:szCs w:val="32"/>
        </w:rPr>
        <w:t>GB 7718</w:t>
      </w:r>
      <w:r>
        <w:rPr>
          <w:rFonts w:hint="eastAsia" w:ascii="仿宋_GB2312" w:hAnsi="宋体" w:eastAsia="仿宋_GB2312" w:cs="宋体"/>
          <w:sz w:val="32"/>
          <w:szCs w:val="32"/>
        </w:rPr>
        <w:t>《食品安全国家标准</w:t>
      </w:r>
      <w:r>
        <w:rPr>
          <w:rFonts w:ascii="仿宋_GB2312" w:hAnsi="宋体" w:eastAsia="仿宋_GB2312" w:cs="宋体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</w:rPr>
        <w:t>预包装食品标签通则》中关于粉条的规定保持一致；同时参考了</w:t>
      </w:r>
      <w:r>
        <w:rPr>
          <w:rFonts w:ascii="仿宋_GB2312" w:hAnsi="宋体" w:eastAsia="仿宋_GB2312" w:cs="宋体"/>
          <w:sz w:val="32"/>
          <w:szCs w:val="32"/>
        </w:rPr>
        <w:t>GB 2713</w:t>
      </w:r>
      <w:r>
        <w:rPr>
          <w:rFonts w:hint="eastAsia" w:ascii="仿宋_GB2312" w:hAnsi="宋体" w:eastAsia="仿宋_GB2312" w:cs="宋体"/>
          <w:sz w:val="32"/>
          <w:szCs w:val="32"/>
        </w:rPr>
        <w:t>《食品安全国家标准</w:t>
      </w:r>
      <w:r>
        <w:rPr>
          <w:rFonts w:ascii="仿宋_GB2312" w:hAnsi="宋体" w:eastAsia="仿宋_GB2312" w:cs="宋体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</w:rPr>
        <w:t>淀粉制品》和</w:t>
      </w:r>
      <w:r>
        <w:rPr>
          <w:rFonts w:ascii="仿宋_GB2312" w:hAnsi="宋体" w:eastAsia="仿宋_GB2312" w:cs="宋体"/>
          <w:sz w:val="32"/>
          <w:szCs w:val="32"/>
        </w:rPr>
        <w:t>GB/T 23587</w:t>
      </w:r>
      <w:r>
        <w:rPr>
          <w:rFonts w:hint="eastAsia" w:ascii="仿宋_GB2312" w:hAnsi="宋体" w:eastAsia="仿宋_GB2312" w:cs="宋体"/>
          <w:sz w:val="32"/>
          <w:szCs w:val="32"/>
        </w:rPr>
        <w:t>《粉条》两个与粉条相关标准的要求。调查和收集国内外关于木薯粉条的加工情况和相关标准，包括已经发布的木薯粉条企业标准，调研生产企业的生产工艺和产品的品种情况，并广泛征求了生产加工企业的意见。污染物限量、真菌毒素限量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、农药残留限量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等均加严要求或与国家标准、行业标准</w:t>
      </w:r>
      <w:r>
        <w:rPr>
          <w:rFonts w:hint="eastAsia" w:ascii="仿宋_GB2312" w:hAnsi="宋体" w:eastAsia="仿宋_GB2312" w:cs="宋体"/>
          <w:sz w:val="32"/>
          <w:szCs w:val="32"/>
        </w:rPr>
        <w:t>保持一致。当新的相应食品安全国家标准颁布实施后，以新的国家标准为准，该地方标准自行废止。</w:t>
      </w:r>
    </w:p>
    <w:p>
      <w:pPr>
        <w:spacing w:line="560" w:lineRule="exact"/>
        <w:rPr>
          <w:rFonts w:ascii="楷体_GB2312" w:hAnsi="宋体" w:eastAsia="楷体_GB2312" w:cs="黑体"/>
          <w:color w:val="000000"/>
          <w:sz w:val="32"/>
          <w:szCs w:val="32"/>
        </w:rPr>
      </w:pPr>
      <w:r>
        <w:rPr>
          <w:rFonts w:hint="eastAsia" w:ascii="楷体_GB2312" w:hAnsi="宋体" w:eastAsia="楷体_GB2312" w:cs="黑体"/>
          <w:color w:val="000000"/>
          <w:sz w:val="32"/>
          <w:szCs w:val="32"/>
        </w:rPr>
        <w:t>四、国外有关法律、法规和标准情况的说明</w:t>
      </w:r>
    </w:p>
    <w:p>
      <w:pPr>
        <w:spacing w:beforeLines="50" w:afterLines="50" w:line="560" w:lineRule="exact"/>
        <w:ind w:firstLine="640" w:firstLineChars="200"/>
        <w:rPr>
          <w:rFonts w:ascii="仿宋_GB2312" w:hAnsi="宋体" w:eastAsia="仿宋_GB2312" w:cs="宋体"/>
          <w:color w:val="00000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sz w:val="32"/>
          <w:szCs w:val="32"/>
        </w:rPr>
        <w:t>我国粉条主要出口日本、韩国等亚洲国家或地区，各国对淀粉制品的污染物和农药残留均有法律和标准限量规定，但对“粉条”尚无明确的有害物限量规定。</w:t>
      </w:r>
    </w:p>
    <w:p>
      <w:pPr>
        <w:spacing w:line="560" w:lineRule="exact"/>
        <w:rPr>
          <w:rFonts w:ascii="宋体" w:cs="宋体"/>
          <w:sz w:val="24"/>
        </w:rPr>
      </w:pPr>
      <w:r>
        <w:rPr>
          <w:rFonts w:hint="eastAsia" w:ascii="楷体_GB2312" w:hAnsi="宋体" w:eastAsia="楷体_GB2312" w:cs="黑体"/>
          <w:color w:val="000000"/>
          <w:sz w:val="32"/>
          <w:szCs w:val="32"/>
        </w:rPr>
        <w:t>五、标准编制原则</w:t>
      </w:r>
      <w:r>
        <w:rPr>
          <w:rFonts w:ascii="宋体" w:hAnsi="宋体" w:cs="宋体"/>
          <w:sz w:val="24"/>
        </w:rPr>
        <w:t xml:space="preserve"> </w:t>
      </w:r>
    </w:p>
    <w:p>
      <w:pPr>
        <w:spacing w:beforeLines="50" w:afterLines="50"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以保障公众健康为宗旨，以食品安全风险监测、评估结果为依据，充分考虑本省粉条特点和饮食习惯，做到科学合理、公开透明、安全可靠。为了食品安全，为了规范粉条行业的健康发展，特制订此标准。</w:t>
      </w:r>
    </w:p>
    <w:p>
      <w:pPr>
        <w:spacing w:beforeLines="50" w:afterLines="50"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标准格式按照</w:t>
      </w:r>
      <w:r>
        <w:rPr>
          <w:rFonts w:ascii="仿宋_GB2312" w:hAnsi="宋体" w:eastAsia="仿宋_GB2312" w:cs="宋体"/>
          <w:sz w:val="32"/>
          <w:szCs w:val="32"/>
        </w:rPr>
        <w:t xml:space="preserve"> GB/T 1.1-2009</w:t>
      </w:r>
      <w:r>
        <w:rPr>
          <w:rFonts w:hint="eastAsia" w:ascii="仿宋_GB2312" w:hAnsi="宋体" w:eastAsia="仿宋_GB2312" w:cs="宋体"/>
          <w:sz w:val="32"/>
          <w:szCs w:val="32"/>
        </w:rPr>
        <w:t>《标准化工作导则</w:t>
      </w:r>
      <w:r>
        <w:rPr>
          <w:rFonts w:ascii="仿宋_GB2312" w:hAnsi="宋体" w:eastAsia="仿宋_GB2312" w:cs="宋体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</w:rPr>
        <w:t>第一部分</w:t>
      </w:r>
      <w:r>
        <w:rPr>
          <w:rFonts w:ascii="仿宋_GB2312" w:hAnsi="宋体" w:eastAsia="仿宋_GB2312" w:cs="宋体"/>
          <w:sz w:val="32"/>
          <w:szCs w:val="32"/>
        </w:rPr>
        <w:t>:</w:t>
      </w:r>
      <w:r>
        <w:rPr>
          <w:rFonts w:hint="eastAsia" w:ascii="仿宋_GB2312" w:hAnsi="宋体" w:eastAsia="仿宋_GB2312" w:cs="宋体"/>
          <w:sz w:val="32"/>
          <w:szCs w:val="32"/>
        </w:rPr>
        <w:t>编制的结构和编写》规定编写。</w:t>
      </w:r>
      <w:r>
        <w:rPr>
          <w:rFonts w:ascii="仿宋_GB2312" w:hAnsi="宋体" w:eastAsia="仿宋_GB2312" w:cs="宋体"/>
          <w:sz w:val="32"/>
          <w:szCs w:val="32"/>
        </w:rPr>
        <w:t xml:space="preserve"> </w:t>
      </w:r>
    </w:p>
    <w:p>
      <w:pPr>
        <w:rPr>
          <w:rFonts w:ascii="宋体" w:cs="宋体"/>
          <w:sz w:val="24"/>
        </w:rPr>
      </w:pPr>
      <w:r>
        <w:rPr>
          <w:rFonts w:hint="eastAsia" w:ascii="楷体_GB2312" w:hAnsi="宋体" w:eastAsia="楷体_GB2312" w:cs="黑体"/>
          <w:color w:val="000000"/>
          <w:sz w:val="32"/>
          <w:szCs w:val="32"/>
        </w:rPr>
        <w:t>六、主要技术内容的确定依据</w:t>
      </w:r>
      <w:r>
        <w:rPr>
          <w:rFonts w:ascii="楷体_GB2312" w:hAnsi="宋体" w:eastAsia="楷体_GB2312" w:cs="黑体"/>
          <w:color w:val="000000"/>
          <w:sz w:val="32"/>
          <w:szCs w:val="32"/>
        </w:rPr>
        <w:t xml:space="preserve"> </w:t>
      </w:r>
    </w:p>
    <w:p>
      <w:pPr>
        <w:spacing w:beforeLines="50" w:afterLines="50"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1</w:t>
      </w:r>
      <w:r>
        <w:rPr>
          <w:rFonts w:hint="eastAsia" w:ascii="仿宋_GB2312" w:hAnsi="宋体" w:eastAsia="仿宋_GB2312" w:cs="宋体"/>
          <w:sz w:val="32"/>
          <w:szCs w:val="32"/>
        </w:rPr>
        <w:t>、原料要求</w:t>
      </w:r>
    </w:p>
    <w:p>
      <w:pPr>
        <w:spacing w:beforeLines="50" w:afterLines="50" w:line="560" w:lineRule="exact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 xml:space="preserve">    </w:t>
      </w:r>
      <w:r>
        <w:rPr>
          <w:rFonts w:hint="eastAsia" w:ascii="仿宋_GB2312" w:hAnsi="宋体" w:eastAsia="仿宋_GB2312" w:cs="宋体"/>
          <w:sz w:val="32"/>
          <w:szCs w:val="32"/>
        </w:rPr>
        <w:t>为明确界定木薯粉条原料范围和要求，确保原料安全，参照</w:t>
      </w:r>
      <w:r>
        <w:rPr>
          <w:rFonts w:ascii="仿宋_GB2312" w:hAnsi="宋体" w:eastAsia="仿宋_GB2312" w:cs="宋体"/>
          <w:sz w:val="32"/>
          <w:szCs w:val="32"/>
        </w:rPr>
        <w:t>GB 2713</w:t>
      </w:r>
      <w:r>
        <w:rPr>
          <w:rFonts w:hint="eastAsia" w:ascii="仿宋_GB2312" w:hAnsi="宋体" w:eastAsia="仿宋_GB2312" w:cs="宋体"/>
          <w:sz w:val="32"/>
          <w:szCs w:val="32"/>
        </w:rPr>
        <w:t>《食品安全国家标准</w:t>
      </w:r>
      <w:r>
        <w:rPr>
          <w:rFonts w:ascii="仿宋_GB2312" w:hAnsi="宋体" w:eastAsia="仿宋_GB2312" w:cs="宋体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</w:rPr>
        <w:t>淀粉制品》和</w:t>
      </w:r>
      <w:r>
        <w:rPr>
          <w:rFonts w:ascii="仿宋_GB2312" w:hAnsi="宋体" w:eastAsia="仿宋_GB2312" w:cs="宋体"/>
          <w:sz w:val="32"/>
          <w:szCs w:val="32"/>
        </w:rPr>
        <w:t>GB/T 23587</w:t>
      </w:r>
      <w:r>
        <w:rPr>
          <w:rFonts w:hint="eastAsia" w:ascii="仿宋_GB2312" w:hAnsi="宋体" w:eastAsia="仿宋_GB2312" w:cs="宋体"/>
          <w:sz w:val="32"/>
          <w:szCs w:val="32"/>
        </w:rPr>
        <w:t>《粉条》国家标准规定如下：</w:t>
      </w:r>
    </w:p>
    <w:p>
      <w:pPr>
        <w:spacing w:beforeLines="50" w:afterLines="50"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（</w:t>
      </w:r>
      <w:r>
        <w:rPr>
          <w:rFonts w:ascii="仿宋_GB2312" w:hAnsi="宋体" w:eastAsia="仿宋_GB2312" w:cs="宋体"/>
          <w:sz w:val="32"/>
          <w:szCs w:val="32"/>
        </w:rPr>
        <w:t>1</w:t>
      </w:r>
      <w:r>
        <w:rPr>
          <w:rFonts w:hint="eastAsia" w:ascii="仿宋_GB2312" w:hAnsi="宋体" w:eastAsia="仿宋_GB2312" w:cs="宋体"/>
          <w:sz w:val="32"/>
          <w:szCs w:val="32"/>
        </w:rPr>
        <w:t>）食用木薯淀粉应符合</w:t>
      </w:r>
      <w:r>
        <w:rPr>
          <w:rFonts w:ascii="仿宋_GB2312" w:hAnsi="宋体" w:eastAsia="仿宋_GB2312" w:cs="宋体"/>
          <w:sz w:val="32"/>
          <w:szCs w:val="32"/>
        </w:rPr>
        <w:t>GB 31637</w:t>
      </w:r>
      <w:r>
        <w:rPr>
          <w:rFonts w:hint="eastAsia" w:ascii="仿宋_GB2312" w:hAnsi="宋体" w:eastAsia="仿宋_GB2312" w:cs="宋体"/>
          <w:sz w:val="32"/>
          <w:szCs w:val="32"/>
        </w:rPr>
        <w:t>的规定。</w:t>
      </w:r>
    </w:p>
    <w:p>
      <w:pPr>
        <w:spacing w:beforeLines="50" w:afterLines="50"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（</w:t>
      </w:r>
      <w:r>
        <w:rPr>
          <w:rFonts w:ascii="仿宋_GB2312" w:hAnsi="宋体" w:eastAsia="仿宋_GB2312" w:cs="宋体"/>
          <w:sz w:val="32"/>
          <w:szCs w:val="32"/>
        </w:rPr>
        <w:t>2</w:t>
      </w:r>
      <w:r>
        <w:rPr>
          <w:rFonts w:hint="eastAsia" w:ascii="仿宋_GB2312" w:hAnsi="宋体" w:eastAsia="仿宋_GB2312" w:cs="宋体"/>
          <w:sz w:val="32"/>
          <w:szCs w:val="32"/>
        </w:rPr>
        <w:t>）其它原料应符合相应的食品标准和有关规定。</w:t>
      </w:r>
    </w:p>
    <w:p>
      <w:pPr>
        <w:spacing w:beforeLines="50" w:afterLines="50"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2</w:t>
      </w:r>
      <w:r>
        <w:rPr>
          <w:rFonts w:hint="eastAsia" w:ascii="仿宋_GB2312" w:hAnsi="宋体" w:eastAsia="仿宋_GB2312" w:cs="宋体"/>
          <w:sz w:val="32"/>
          <w:szCs w:val="32"/>
        </w:rPr>
        <w:t>、感官要求</w:t>
      </w:r>
    </w:p>
    <w:p>
      <w:pPr>
        <w:spacing w:beforeLines="50" w:afterLines="50"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木薯粉条的色泽、</w:t>
      </w:r>
      <w:bookmarkStart w:id="3" w:name="OLE_LINK2"/>
      <w:bookmarkStart w:id="4" w:name="OLE_LINK3"/>
      <w:r>
        <w:rPr>
          <w:rFonts w:hint="eastAsia" w:ascii="仿宋_GB2312" w:hAnsi="宋体" w:eastAsia="仿宋_GB2312" w:cs="宋体"/>
          <w:sz w:val="32"/>
          <w:szCs w:val="32"/>
        </w:rPr>
        <w:t>组织形态</w:t>
      </w:r>
      <w:bookmarkEnd w:id="3"/>
      <w:bookmarkEnd w:id="4"/>
      <w:r>
        <w:rPr>
          <w:rFonts w:hint="eastAsia" w:ascii="仿宋_GB2312" w:hAnsi="宋体" w:eastAsia="仿宋_GB2312" w:cs="宋体"/>
          <w:sz w:val="32"/>
          <w:szCs w:val="32"/>
        </w:rPr>
        <w:t>、滋味、气味和杂质要求参照</w:t>
      </w:r>
      <w:r>
        <w:rPr>
          <w:rFonts w:ascii="仿宋_GB2312" w:hAnsi="宋体" w:eastAsia="仿宋_GB2312" w:cs="宋体"/>
          <w:sz w:val="32"/>
          <w:szCs w:val="32"/>
        </w:rPr>
        <w:t>GB 2713</w:t>
      </w:r>
      <w:r>
        <w:rPr>
          <w:rFonts w:hint="eastAsia" w:ascii="仿宋_GB2312" w:hAnsi="宋体" w:eastAsia="仿宋_GB2312" w:cs="宋体"/>
          <w:sz w:val="32"/>
          <w:szCs w:val="32"/>
        </w:rPr>
        <w:t>《食品安全国家标准</w:t>
      </w:r>
      <w:r>
        <w:rPr>
          <w:rFonts w:ascii="仿宋_GB2312" w:hAnsi="宋体" w:eastAsia="仿宋_GB2312" w:cs="宋体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</w:rPr>
        <w:t>淀粉制品》、</w:t>
      </w:r>
      <w:r>
        <w:rPr>
          <w:rFonts w:ascii="仿宋_GB2312" w:hAnsi="宋体" w:eastAsia="仿宋_GB2312" w:cs="宋体"/>
          <w:sz w:val="32"/>
          <w:szCs w:val="32"/>
        </w:rPr>
        <w:t>GB/T 23587</w:t>
      </w:r>
      <w:r>
        <w:rPr>
          <w:rFonts w:hint="eastAsia" w:ascii="仿宋_GB2312" w:hAnsi="宋体" w:eastAsia="仿宋_GB2312" w:cs="宋体"/>
          <w:sz w:val="32"/>
          <w:szCs w:val="32"/>
        </w:rPr>
        <w:t>《粉条》的感官要求制定，并与其保持一致。</w:t>
      </w:r>
    </w:p>
    <w:p>
      <w:pPr>
        <w:spacing w:beforeLines="50" w:afterLines="50"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3</w:t>
      </w:r>
      <w:r>
        <w:rPr>
          <w:rFonts w:hint="eastAsia" w:ascii="仿宋_GB2312" w:hAnsi="宋体" w:eastAsia="仿宋_GB2312" w:cs="宋体"/>
          <w:sz w:val="32"/>
          <w:szCs w:val="32"/>
        </w:rPr>
        <w:t>、理化指标</w:t>
      </w:r>
    </w:p>
    <w:p>
      <w:pPr>
        <w:spacing w:beforeLines="50" w:afterLines="50"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sz w:val="32"/>
          <w:szCs w:val="32"/>
        </w:rPr>
        <w:t>水分活度影响到粉条产品的品质及后期的储运要求。成品中过高的水分会造成粉条色泽变黄、变酥，严重时可造成霉烂变质。灰分是粉条经灼烧后所残留的无机物质。粉条在干燥过程中，若采用晾晒场晾晒，可能会从外界带入灰尘、沙砾、杂草等杂质，造成灰分超标。控制产品灰分，有利于督促企业使用合格的淀粉原料，保障产品质量。淀粉是植物经光合作用而形成的碳水化合物。粉条的主要成分是淀粉，淀粉指标能反映产品的成分特征，含量高低直接关系到产品的品质，因此必须对淀粉含量进行限制。水分、灰分和淀粉指标参考</w:t>
      </w:r>
      <w:r>
        <w:rPr>
          <w:rFonts w:ascii="仿宋_GB2312" w:hAnsi="宋体" w:eastAsia="仿宋_GB2312" w:cs="宋体"/>
          <w:color w:val="000000"/>
          <w:sz w:val="32"/>
          <w:szCs w:val="32"/>
        </w:rPr>
        <w:t>GB/T 23587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《粉条》中红薯粉条的要求，并结合本中心对</w:t>
      </w:r>
      <w:r>
        <w:rPr>
          <w:rFonts w:hint="eastAsia" w:ascii="仿宋_GB2312" w:hAnsi="宋体" w:eastAsia="仿宋_GB2312" w:cs="宋体"/>
          <w:color w:val="000000"/>
          <w:sz w:val="32"/>
          <w:szCs w:val="32"/>
          <w:lang w:eastAsia="zh-CN"/>
        </w:rPr>
        <w:t>多批次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干木薯粉条</w:t>
      </w:r>
      <w:r>
        <w:rPr>
          <w:rFonts w:hint="eastAsia" w:ascii="仿宋_GB2312" w:hAnsi="宋体" w:eastAsia="仿宋_GB2312" w:cs="宋体"/>
          <w:color w:val="000000"/>
          <w:sz w:val="32"/>
          <w:szCs w:val="32"/>
          <w:lang w:eastAsia="zh-CN"/>
        </w:rPr>
        <w:t>和</w:t>
      </w:r>
      <w:r>
        <w:rPr>
          <w:rFonts w:hint="eastAsia" w:ascii="仿宋_GB2312" w:hAnsi="宋体" w:eastAsia="仿宋_GB2312" w:cs="宋体"/>
          <w:sz w:val="32"/>
          <w:szCs w:val="32"/>
        </w:rPr>
        <w:t>湿木薯粉条检测结果及木薯粉条的特性制定。干木薯粉条的水分要求最高不超过</w:t>
      </w:r>
      <w:r>
        <w:rPr>
          <w:rFonts w:ascii="仿宋_GB2312" w:hAnsi="宋体" w:eastAsia="仿宋_GB2312" w:cs="宋体"/>
          <w:sz w:val="32"/>
          <w:szCs w:val="32"/>
        </w:rPr>
        <w:t>15.0 g/100g</w:t>
      </w:r>
      <w:r>
        <w:rPr>
          <w:rFonts w:hint="eastAsia" w:ascii="仿宋_GB2312" w:hAnsi="宋体" w:eastAsia="仿宋_GB2312" w:cs="宋体"/>
          <w:sz w:val="32"/>
          <w:szCs w:val="32"/>
        </w:rPr>
        <w:t>，灰分含量不高于</w:t>
      </w:r>
      <w:r>
        <w:rPr>
          <w:rFonts w:ascii="仿宋_GB2312" w:hAnsi="宋体" w:eastAsia="仿宋_GB2312" w:cs="宋体"/>
          <w:sz w:val="32"/>
          <w:szCs w:val="32"/>
        </w:rPr>
        <w:t>0.8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ascii="仿宋_GB2312" w:hAnsi="宋体" w:eastAsia="仿宋_GB2312" w:cs="宋体"/>
          <w:sz w:val="32"/>
          <w:szCs w:val="32"/>
        </w:rPr>
        <w:t>g/100g</w:t>
      </w:r>
      <w:r>
        <w:rPr>
          <w:rFonts w:hint="eastAsia" w:ascii="仿宋_GB2312" w:hAnsi="宋体" w:eastAsia="仿宋_GB2312" w:cs="宋体"/>
          <w:sz w:val="32"/>
          <w:szCs w:val="32"/>
        </w:rPr>
        <w:t>，淀粉含量不低于</w:t>
      </w:r>
      <w:r>
        <w:rPr>
          <w:rFonts w:ascii="仿宋_GB2312" w:hAnsi="宋体" w:eastAsia="仿宋_GB2312" w:cs="宋体"/>
          <w:sz w:val="32"/>
          <w:szCs w:val="32"/>
        </w:rPr>
        <w:t>75.0 g/100g</w:t>
      </w:r>
      <w:r>
        <w:rPr>
          <w:rFonts w:hint="eastAsia" w:ascii="仿宋_GB2312" w:hAnsi="宋体" w:eastAsia="仿宋_GB2312" w:cs="宋体"/>
          <w:sz w:val="32"/>
          <w:szCs w:val="32"/>
        </w:rPr>
        <w:t>。湿木薯粉条的水分要求最高不超过</w:t>
      </w:r>
      <w:r>
        <w:rPr>
          <w:rFonts w:ascii="仿宋_GB2312" w:hAnsi="宋体" w:eastAsia="仿宋_GB2312" w:cs="宋体"/>
          <w:sz w:val="32"/>
          <w:szCs w:val="32"/>
        </w:rPr>
        <w:t>65.0 g/100g</w:t>
      </w:r>
      <w:r>
        <w:rPr>
          <w:rFonts w:hint="eastAsia" w:ascii="仿宋_GB2312" w:hAnsi="宋体" w:eastAsia="仿宋_GB2312" w:cs="宋体"/>
          <w:sz w:val="32"/>
          <w:szCs w:val="32"/>
        </w:rPr>
        <w:t>，灰分含量不高于</w:t>
      </w:r>
      <w:r>
        <w:rPr>
          <w:rFonts w:ascii="仿宋_GB2312" w:hAnsi="宋体" w:eastAsia="仿宋_GB2312" w:cs="宋体"/>
          <w:sz w:val="32"/>
          <w:szCs w:val="32"/>
        </w:rPr>
        <w:t>0.4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ascii="仿宋_GB2312" w:hAnsi="宋体" w:eastAsia="仿宋_GB2312" w:cs="宋体"/>
          <w:sz w:val="32"/>
          <w:szCs w:val="32"/>
        </w:rPr>
        <w:t>g/100g</w:t>
      </w:r>
      <w:r>
        <w:rPr>
          <w:rFonts w:hint="eastAsia" w:ascii="仿宋_GB2312" w:hAnsi="宋体" w:eastAsia="仿宋_GB2312" w:cs="宋体"/>
          <w:sz w:val="32"/>
          <w:szCs w:val="32"/>
        </w:rPr>
        <w:t>，淀粉含量不低于</w:t>
      </w:r>
      <w:r>
        <w:rPr>
          <w:rFonts w:ascii="仿宋_GB2312" w:hAnsi="宋体" w:eastAsia="仿宋_GB2312" w:cs="宋体"/>
          <w:sz w:val="32"/>
          <w:szCs w:val="32"/>
        </w:rPr>
        <w:t>30.0 g/100g</w:t>
      </w:r>
      <w:r>
        <w:rPr>
          <w:rFonts w:hint="eastAsia" w:ascii="仿宋_GB2312" w:hAnsi="宋体" w:eastAsia="仿宋_GB2312" w:cs="宋体"/>
          <w:sz w:val="32"/>
          <w:szCs w:val="32"/>
        </w:rPr>
        <w:t>。</w:t>
      </w:r>
    </w:p>
    <w:p>
      <w:pPr>
        <w:spacing w:beforeLines="50" w:afterLines="50"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铝的限量指标依据</w:t>
      </w:r>
      <w:r>
        <w:rPr>
          <w:rFonts w:ascii="仿宋_GB2312" w:hAnsi="宋体" w:eastAsia="仿宋_GB2312" w:cs="宋体"/>
          <w:sz w:val="32"/>
          <w:szCs w:val="32"/>
        </w:rPr>
        <w:t>GB 2760</w:t>
      </w:r>
      <w:r>
        <w:rPr>
          <w:rFonts w:hint="eastAsia" w:ascii="仿宋_GB2312" w:hAnsi="宋体" w:eastAsia="仿宋_GB2312" w:cs="宋体"/>
          <w:sz w:val="32"/>
          <w:szCs w:val="32"/>
        </w:rPr>
        <w:t>《食品安全国家标准</w:t>
      </w:r>
      <w:r>
        <w:rPr>
          <w:rFonts w:ascii="仿宋_GB2312" w:hAnsi="宋体" w:eastAsia="仿宋_GB2312" w:cs="宋体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</w:rPr>
        <w:t>食品添加剂使用标准》，并严格执行了国家卫生计生委关于批准β－半乳糖苷酶为食品添加剂新品种等的公告（</w:t>
      </w:r>
      <w:r>
        <w:rPr>
          <w:rFonts w:ascii="仿宋_GB2312" w:hAnsi="宋体" w:eastAsia="仿宋_GB2312" w:cs="宋体"/>
          <w:sz w:val="32"/>
          <w:szCs w:val="32"/>
        </w:rPr>
        <w:t>2015</w:t>
      </w:r>
      <w:r>
        <w:rPr>
          <w:rFonts w:hint="eastAsia" w:ascii="仿宋_GB2312" w:hAnsi="宋体" w:eastAsia="仿宋_GB2312" w:cs="宋体"/>
          <w:sz w:val="32"/>
          <w:szCs w:val="32"/>
        </w:rPr>
        <w:t>年</w:t>
      </w:r>
      <w:r>
        <w:rPr>
          <w:rFonts w:ascii="仿宋_GB2312" w:hAnsi="宋体" w:eastAsia="仿宋_GB2312" w:cs="宋体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</w:rPr>
        <w:t>第</w:t>
      </w:r>
      <w:r>
        <w:rPr>
          <w:rFonts w:ascii="仿宋_GB2312" w:hAnsi="宋体" w:eastAsia="仿宋_GB2312" w:cs="宋体"/>
          <w:sz w:val="32"/>
          <w:szCs w:val="32"/>
        </w:rPr>
        <w:t>1</w:t>
      </w:r>
      <w:r>
        <w:rPr>
          <w:rFonts w:hint="eastAsia" w:ascii="仿宋_GB2312" w:hAnsi="宋体" w:eastAsia="仿宋_GB2312" w:cs="宋体"/>
          <w:sz w:val="32"/>
          <w:szCs w:val="32"/>
        </w:rPr>
        <w:t>号）制定，铝</w:t>
      </w:r>
      <w:r>
        <w:rPr>
          <w:rFonts w:ascii="仿宋_GB2312" w:hAnsi="宋体" w:eastAsia="仿宋_GB2312" w:cs="宋体"/>
          <w:sz w:val="32"/>
          <w:szCs w:val="32"/>
        </w:rPr>
        <w:t>(</w:t>
      </w:r>
      <w:r>
        <w:rPr>
          <w:rFonts w:hint="eastAsia" w:ascii="仿宋_GB2312" w:hAnsi="宋体" w:eastAsia="仿宋_GB2312" w:cs="宋体"/>
          <w:sz w:val="32"/>
          <w:szCs w:val="32"/>
        </w:rPr>
        <w:t>干样品，以</w:t>
      </w:r>
      <w:r>
        <w:rPr>
          <w:rFonts w:ascii="仿宋_GB2312" w:hAnsi="宋体" w:eastAsia="仿宋_GB2312" w:cs="宋体"/>
          <w:sz w:val="32"/>
          <w:szCs w:val="32"/>
        </w:rPr>
        <w:t>A1</w:t>
      </w:r>
      <w:r>
        <w:rPr>
          <w:rFonts w:hint="eastAsia" w:ascii="仿宋_GB2312" w:hAnsi="宋体" w:eastAsia="仿宋_GB2312" w:cs="宋体"/>
          <w:sz w:val="32"/>
          <w:szCs w:val="32"/>
        </w:rPr>
        <w:t>计</w:t>
      </w:r>
      <w:r>
        <w:rPr>
          <w:rFonts w:ascii="仿宋_GB2312" w:hAnsi="宋体" w:eastAsia="仿宋_GB2312" w:cs="宋体"/>
          <w:sz w:val="32"/>
          <w:szCs w:val="32"/>
        </w:rPr>
        <w:t>)</w:t>
      </w:r>
      <w:r>
        <w:rPr>
          <w:rFonts w:hint="eastAsia" w:ascii="仿宋_GB2312" w:hAnsi="宋体" w:eastAsia="仿宋_GB2312" w:cs="宋体"/>
          <w:sz w:val="32"/>
          <w:szCs w:val="32"/>
        </w:rPr>
        <w:t>≤</w:t>
      </w:r>
      <w:r>
        <w:rPr>
          <w:rFonts w:ascii="仿宋_GB2312" w:hAnsi="宋体" w:eastAsia="仿宋_GB2312" w:cs="宋体"/>
          <w:sz w:val="32"/>
          <w:szCs w:val="32"/>
        </w:rPr>
        <w:t>200 mg/kg</w:t>
      </w:r>
      <w:r>
        <w:rPr>
          <w:rFonts w:hint="eastAsia" w:ascii="仿宋_GB2312" w:hAnsi="宋体" w:eastAsia="仿宋_GB2312" w:cs="宋体"/>
          <w:sz w:val="32"/>
          <w:szCs w:val="32"/>
        </w:rPr>
        <w:t>。铅指标严格执行了</w:t>
      </w:r>
      <w:r>
        <w:rPr>
          <w:rFonts w:ascii="仿宋_GB2312" w:hAnsi="宋体" w:eastAsia="仿宋_GB2312" w:cs="宋体"/>
          <w:sz w:val="32"/>
          <w:szCs w:val="32"/>
        </w:rPr>
        <w:t>GB 2762</w:t>
      </w:r>
      <w:r>
        <w:rPr>
          <w:rFonts w:hint="eastAsia" w:ascii="仿宋_GB2312" w:hAnsi="宋体" w:eastAsia="仿宋_GB2312" w:cs="宋体"/>
          <w:sz w:val="32"/>
          <w:szCs w:val="32"/>
        </w:rPr>
        <w:t>《食品安全国家标准</w:t>
      </w:r>
      <w:r>
        <w:rPr>
          <w:rFonts w:ascii="仿宋_GB2312" w:hAnsi="宋体" w:eastAsia="仿宋_GB2312" w:cs="宋体"/>
          <w:sz w:val="32"/>
          <w:szCs w:val="32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</w:rPr>
        <w:t>食品中污染物限量》标准，铅（以</w:t>
      </w:r>
      <w:r>
        <w:rPr>
          <w:rFonts w:ascii="仿宋_GB2312" w:hAnsi="宋体" w:eastAsia="仿宋_GB2312" w:cs="宋体"/>
          <w:sz w:val="32"/>
          <w:szCs w:val="32"/>
        </w:rPr>
        <w:t>Pd</w:t>
      </w:r>
      <w:r>
        <w:rPr>
          <w:rFonts w:hint="eastAsia" w:ascii="仿宋_GB2312" w:hAnsi="宋体" w:eastAsia="仿宋_GB2312" w:cs="宋体"/>
          <w:sz w:val="32"/>
          <w:szCs w:val="32"/>
        </w:rPr>
        <w:t>计）≤</w:t>
      </w:r>
      <w:r>
        <w:rPr>
          <w:rFonts w:ascii="仿宋_GB2312" w:hAnsi="宋体" w:eastAsia="仿宋_GB2312" w:cs="宋体"/>
          <w:sz w:val="32"/>
          <w:szCs w:val="32"/>
        </w:rPr>
        <w:t>0.5mg/kg</w:t>
      </w:r>
      <w:r>
        <w:rPr>
          <w:rFonts w:hint="eastAsia" w:ascii="仿宋_GB2312" w:hAnsi="宋体" w:eastAsia="仿宋_GB2312" w:cs="宋体"/>
          <w:sz w:val="32"/>
          <w:szCs w:val="32"/>
        </w:rPr>
        <w:t>。</w:t>
      </w:r>
    </w:p>
    <w:p>
      <w:pPr>
        <w:spacing w:beforeLines="50" w:afterLines="50"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氢氰酸来源于原料木薯，但在提取木薯淀粉的过程中，氢氰酸被大量去除。氢氰酸指标参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考了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GB 2715《食品安全国家标准 粮食》中木薯粉的总氢氰酸限量指标和</w:t>
      </w:r>
      <w:r>
        <w:rPr>
          <w:rFonts w:ascii="仿宋_GB2312" w:hAnsi="宋体" w:eastAsia="仿宋_GB2312" w:cs="宋体"/>
          <w:sz w:val="32"/>
          <w:szCs w:val="32"/>
        </w:rPr>
        <w:t>NY/T 875</w:t>
      </w:r>
      <w:r>
        <w:rPr>
          <w:rFonts w:hint="eastAsia" w:ascii="仿宋_GB2312" w:hAnsi="宋体" w:eastAsia="仿宋_GB2312" w:cs="宋体"/>
          <w:sz w:val="32"/>
          <w:szCs w:val="32"/>
        </w:rPr>
        <w:t>《食用木薯淀粉》中的氢氰酸限量指标，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对粉条加工过程中食用木薯淀粉的添加量进行了加权折算，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并结合本中心对</w:t>
      </w:r>
      <w:r>
        <w:rPr>
          <w:rFonts w:hint="eastAsia" w:ascii="仿宋_GB2312" w:hAnsi="宋体" w:eastAsia="仿宋_GB2312" w:cs="宋体"/>
          <w:color w:val="000000"/>
          <w:sz w:val="32"/>
          <w:szCs w:val="32"/>
          <w:lang w:val="en-US" w:eastAsia="zh-CN"/>
        </w:rPr>
        <w:t>多批次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干木薯粉条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氢氰酸的检测结果，</w:t>
      </w:r>
      <w:r>
        <w:rPr>
          <w:rFonts w:hint="eastAsia" w:ascii="仿宋_GB2312" w:hAnsi="宋体" w:eastAsia="仿宋_GB2312" w:cs="宋体"/>
          <w:sz w:val="32"/>
          <w:szCs w:val="32"/>
        </w:rPr>
        <w:t>规定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干木薯粉条的</w:t>
      </w:r>
      <w:r>
        <w:rPr>
          <w:rFonts w:hint="eastAsia" w:ascii="仿宋_GB2312" w:hAnsi="宋体" w:eastAsia="仿宋_GB2312" w:cs="宋体"/>
          <w:sz w:val="32"/>
          <w:szCs w:val="32"/>
        </w:rPr>
        <w:t>氢氰酸限量为≤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6</w:t>
      </w:r>
      <w:r>
        <w:rPr>
          <w:rFonts w:ascii="仿宋_GB2312" w:hAnsi="宋体" w:eastAsia="仿宋_GB2312" w:cs="宋体"/>
          <w:sz w:val="32"/>
          <w:szCs w:val="32"/>
        </w:rPr>
        <w:t>mg/kg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，湿木薯粉条的</w:t>
      </w:r>
      <w:r>
        <w:rPr>
          <w:rFonts w:hint="eastAsia" w:ascii="仿宋_GB2312" w:hAnsi="宋体" w:eastAsia="仿宋_GB2312" w:cs="宋体"/>
          <w:sz w:val="32"/>
          <w:szCs w:val="32"/>
        </w:rPr>
        <w:t>氢氰酸限量为≤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</w:t>
      </w:r>
      <w:r>
        <w:rPr>
          <w:rFonts w:ascii="仿宋_GB2312" w:hAnsi="宋体" w:eastAsia="仿宋_GB2312" w:cs="宋体"/>
          <w:sz w:val="32"/>
          <w:szCs w:val="32"/>
        </w:rPr>
        <w:t>mg/kg</w:t>
      </w:r>
      <w:r>
        <w:rPr>
          <w:rFonts w:hint="eastAsia" w:ascii="仿宋_GB2312" w:hAnsi="宋体" w:eastAsia="仿宋_GB2312" w:cs="宋体"/>
          <w:sz w:val="32"/>
          <w:szCs w:val="32"/>
        </w:rPr>
        <w:t>。</w:t>
      </w:r>
    </w:p>
    <w:p>
      <w:pPr>
        <w:spacing w:beforeLines="50" w:afterLines="50" w:line="560" w:lineRule="exact"/>
        <w:ind w:firstLine="640" w:firstLineChars="200"/>
        <w:rPr>
          <w:rFonts w:ascii="仿宋_GB2312" w:hAnsi="宋体" w:eastAsia="仿宋_GB2312" w:cs="宋体"/>
          <w:color w:val="000000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检验方法</w:t>
      </w:r>
    </w:p>
    <w:p>
      <w:pPr>
        <w:spacing w:beforeLines="50" w:afterLines="50"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sz w:val="32"/>
          <w:szCs w:val="32"/>
        </w:rPr>
        <w:t>感官要求采用目测、手感、鼻</w:t>
      </w:r>
      <w:r>
        <w:rPr>
          <w:rFonts w:hint="eastAsia" w:ascii="仿宋_GB2312" w:hAnsi="宋体" w:eastAsia="仿宋_GB2312" w:cs="宋体"/>
          <w:sz w:val="32"/>
          <w:szCs w:val="32"/>
        </w:rPr>
        <w:t>嗅、口尝的方法进行检测。各项理化指标的检测均采用相应国家标准规定的方法进行。</w:t>
      </w:r>
    </w:p>
    <w:p>
      <w:pPr>
        <w:spacing w:beforeLines="50" w:afterLines="50" w:line="560" w:lineRule="exact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楷体_GB2312" w:hAnsi="宋体" w:eastAsia="楷体_GB2312" w:cs="黑体"/>
          <w:color w:val="000000"/>
          <w:sz w:val="32"/>
          <w:szCs w:val="32"/>
        </w:rPr>
        <w:t>七、征求意见的采纳情况</w:t>
      </w:r>
      <w:r>
        <w:rPr>
          <w:rFonts w:ascii="楷体_GB2312" w:hAnsi="宋体" w:eastAsia="楷体_GB2312" w:cs="黑体"/>
          <w:color w:val="000000"/>
          <w:sz w:val="32"/>
          <w:szCs w:val="32"/>
        </w:rPr>
        <w:t xml:space="preserve"> </w:t>
      </w:r>
    </w:p>
    <w:p>
      <w:pPr>
        <w:spacing w:beforeLines="50" w:afterLines="50" w:line="560" w:lineRule="exact"/>
        <w:ind w:firstLine="640" w:firstLineChars="200"/>
        <w:rPr>
          <w:rFonts w:hint="eastAsia" w:ascii="仿宋_GB2312" w:hAnsi="宋体" w:eastAsia="仿宋_GB2312" w:cs="宋体"/>
          <w:color w:val="00000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sz w:val="32"/>
          <w:szCs w:val="32"/>
        </w:rPr>
        <w:t>木薯粉条地方标准起草完成后，根据起草地方标准的相关要求，书面公开征求了地方标准使用单位、企业、行业协会、科研院校、超市、行业专家、监管部门等各方面意见；共收到16家单位的21条反馈意见，全部赞成但有意见，合理的意见均已采纳，并将标准文本进行了修改；2018年2月召开了“《河北省食品安全地方标准 木薯粉条（丝）》（征求意见稿）征询专家意见会”,收到意见和建议共12条，其中对标准文本的建议9条，全部采纳，对编制说明提出意见3条，全部采纳。在征询专家意见会上专家们一致同意将标准名称修改为《食品安全地方标准 木薯粉条》，无反对意见，我中心采用并进行了修改</w:t>
      </w:r>
      <w:r>
        <w:rPr>
          <w:rFonts w:hint="eastAsia" w:ascii="仿宋_GB2312" w:hAnsi="宋体" w:eastAsia="仿宋_GB2312" w:cs="宋体"/>
          <w:color w:val="000000"/>
          <w:sz w:val="32"/>
          <w:szCs w:val="32"/>
          <w:lang w:eastAsia="zh-CN"/>
        </w:rPr>
        <w:t>。</w:t>
      </w:r>
    </w:p>
    <w:p>
      <w:pPr>
        <w:spacing w:beforeLines="50" w:afterLines="50"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sz w:val="32"/>
          <w:szCs w:val="32"/>
          <w:lang w:val="en-US" w:eastAsia="zh-CN"/>
        </w:rPr>
        <w:t>2018年8月10河北省卫生和计划生育委员会召开了“河北省食品安全地方标准项目审查会”，专家们</w:t>
      </w:r>
      <w:r>
        <w:rPr>
          <w:rFonts w:hint="eastAsia" w:ascii="仿宋_GB2312" w:hAnsi="宋体" w:eastAsia="仿宋_GB2312" w:cs="宋体"/>
          <w:color w:val="000000"/>
          <w:sz w:val="32"/>
          <w:szCs w:val="32"/>
          <w:lang w:eastAsia="zh-CN"/>
        </w:rPr>
        <w:t>达成修改意见如下：</w:t>
      </w:r>
      <w:r>
        <w:rPr>
          <w:rFonts w:hint="eastAsia" w:ascii="仿宋_GB2312" w:hAnsi="宋体" w:eastAsia="仿宋_GB2312" w:cs="宋体"/>
          <w:color w:val="000000"/>
          <w:sz w:val="32"/>
          <w:szCs w:val="32"/>
          <w:lang w:val="en-US" w:eastAsia="zh-CN"/>
        </w:rPr>
        <w:t>1、标准定义的产品应和行业标准一致。2、不建议引用推荐性标准。3、建议将氢氰酸修改为总氢氰酸，以干基计，依据木薯淀粉添加量及实际检测值下调限量值。4、删除理化指标中注的内容。5、核对铝指标的表述，删除黄曲霉毒素限量值。6、核对定义中是不是所有产品都有包装工艺，将淀粉制品修改为产品。7、取消即食产品类别及相关要求。除了氢氰酸以干基计未采纳以外，其余修改意见全部采纳，未采纳的原因有两个，一是氢氰酸的检验方法不能以干基计算，二是与国家标准和行业标准保持一致。</w:t>
      </w:r>
    </w:p>
    <w:p>
      <w:pPr>
        <w:rPr>
          <w:rFonts w:ascii="楷体_GB2312" w:hAnsi="宋体" w:eastAsia="楷体_GB2312" w:cs="黑体"/>
          <w:color w:val="000000"/>
          <w:sz w:val="32"/>
          <w:szCs w:val="32"/>
        </w:rPr>
      </w:pPr>
      <w:r>
        <w:rPr>
          <w:rFonts w:hint="eastAsia" w:ascii="楷体_GB2312" w:hAnsi="宋体" w:eastAsia="楷体_GB2312" w:cs="黑体"/>
          <w:color w:val="000000"/>
          <w:sz w:val="32"/>
          <w:szCs w:val="32"/>
        </w:rPr>
        <w:t>八、标准实施建议</w:t>
      </w:r>
    </w:p>
    <w:p>
      <w:pPr>
        <w:spacing w:beforeLines="50" w:afterLines="50" w:line="56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一是做好标准宣贯和培训工作；二是本省境内生产木薯粉条统一执行该标准，生产企业无需再申请备案木薯粉条企业标准；三是组织开展好该标准的跟踪评价工作，及时收集、分析标准实施过程中存在的问题、意见和建议，为标准修订提供科学依据。</w:t>
      </w:r>
      <w:r>
        <w:rPr>
          <w:rFonts w:ascii="仿宋_GB2312" w:hAnsi="宋体" w:eastAsia="仿宋_GB2312" w:cs="宋体"/>
          <w:sz w:val="32"/>
          <w:szCs w:val="32"/>
        </w:rPr>
        <w:t xml:space="preserve"> 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8</w:t>
    </w:r>
    <w:r>
      <w:rPr>
        <w:rStyle w:val="6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">
    <w:nsid w:val="0000000F"/>
    <w:multiLevelType w:val="multilevel"/>
    <w:tmpl w:val="0000000F"/>
    <w:lvl w:ilvl="0" w:tentative="1">
      <w:start w:val="1"/>
      <w:numFmt w:val="decimal"/>
      <w:suff w:val="nothing"/>
      <w:lvlText w:val="%1　"/>
      <w:lvlJc w:val="left"/>
      <w:rPr>
        <w:rFonts w:hint="eastAsia" w:ascii="黑体" w:hAnsi="Times New Roman" w:eastAsia="黑体" w:cs="Times New Roman"/>
        <w:b w:val="0"/>
        <w:i w:val="0"/>
        <w:sz w:val="21"/>
        <w:szCs w:val="21"/>
      </w:rPr>
    </w:lvl>
    <w:lvl w:ilvl="1" w:tentative="1">
      <w:start w:val="1"/>
      <w:numFmt w:val="decimal"/>
      <w:suff w:val="nothing"/>
      <w:lvlText w:val="%1.%2　"/>
      <w:lvlJc w:val="left"/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1">
      <w:start w:val="1"/>
      <w:numFmt w:val="decimal"/>
      <w:pStyle w:val="16"/>
      <w:suff w:val="nothing"/>
      <w:lvlText w:val="%1.%2.%3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3" w:tentative="1">
      <w:start w:val="1"/>
      <w:numFmt w:val="decimal"/>
      <w:suff w:val="nothing"/>
      <w:lvlText w:val="%1.%2.%3.%4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4" w:tentative="1">
      <w:start w:val="1"/>
      <w:numFmt w:val="decimal"/>
      <w:suff w:val="nothing"/>
      <w:lvlText w:val="%1.%2.%3.%4.%5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5" w:tentative="1">
      <w:start w:val="1"/>
      <w:numFmt w:val="decimal"/>
      <w:suff w:val="nothing"/>
      <w:lvlText w:val="%1.%2.%3.%4.%5.%6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6" w:tentative="1">
      <w:start w:val="1"/>
      <w:numFmt w:val="decimal"/>
      <w:suff w:val="nothing"/>
      <w:lvlText w:val="%1%2.%3.%4.%5.%6.%7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 w:cs="Times New Roman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 w:cs="Times New Roman"/>
      </w:rPr>
    </w:lvl>
  </w:abstractNum>
  <w:num w:numId="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useAltKinsokuLineBreakRules/>
    <w:allowSpaceOfSameStyleInTable/>
    <w:doNotSuppressIndentation/>
    <w:doNotAutofitConstrainedTables/>
    <w:autofitToFirstFixedWidthCell/>
    <w:underlineTabInNumList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1CF2"/>
    <w:rsid w:val="00016F7F"/>
    <w:rsid w:val="00056244"/>
    <w:rsid w:val="00056486"/>
    <w:rsid w:val="00071AFE"/>
    <w:rsid w:val="000725AE"/>
    <w:rsid w:val="000C73A2"/>
    <w:rsid w:val="000C792A"/>
    <w:rsid w:val="000D4284"/>
    <w:rsid w:val="000E68F6"/>
    <w:rsid w:val="000F58E0"/>
    <w:rsid w:val="000F76F8"/>
    <w:rsid w:val="00152359"/>
    <w:rsid w:val="0015478A"/>
    <w:rsid w:val="001628AE"/>
    <w:rsid w:val="00167375"/>
    <w:rsid w:val="001834D0"/>
    <w:rsid w:val="00194A8C"/>
    <w:rsid w:val="001B4046"/>
    <w:rsid w:val="001C2FC8"/>
    <w:rsid w:val="001F367B"/>
    <w:rsid w:val="00216AA8"/>
    <w:rsid w:val="002769DE"/>
    <w:rsid w:val="002B5FAA"/>
    <w:rsid w:val="002C017A"/>
    <w:rsid w:val="002E7095"/>
    <w:rsid w:val="00320CE7"/>
    <w:rsid w:val="00320EBF"/>
    <w:rsid w:val="00367725"/>
    <w:rsid w:val="003A5CD1"/>
    <w:rsid w:val="003A5D7B"/>
    <w:rsid w:val="00402650"/>
    <w:rsid w:val="0042222B"/>
    <w:rsid w:val="00445EDC"/>
    <w:rsid w:val="00446772"/>
    <w:rsid w:val="004604DB"/>
    <w:rsid w:val="00461B58"/>
    <w:rsid w:val="0049497C"/>
    <w:rsid w:val="0049661F"/>
    <w:rsid w:val="004C5827"/>
    <w:rsid w:val="004D3F0B"/>
    <w:rsid w:val="004E287A"/>
    <w:rsid w:val="005101A4"/>
    <w:rsid w:val="005205F2"/>
    <w:rsid w:val="005213AE"/>
    <w:rsid w:val="00525DFD"/>
    <w:rsid w:val="00553443"/>
    <w:rsid w:val="00553FA7"/>
    <w:rsid w:val="00571352"/>
    <w:rsid w:val="00576E61"/>
    <w:rsid w:val="005772D5"/>
    <w:rsid w:val="00590FA7"/>
    <w:rsid w:val="00595303"/>
    <w:rsid w:val="005C15F3"/>
    <w:rsid w:val="005E1017"/>
    <w:rsid w:val="005E5943"/>
    <w:rsid w:val="005F29F7"/>
    <w:rsid w:val="005F6CC5"/>
    <w:rsid w:val="00624BFB"/>
    <w:rsid w:val="00633FCD"/>
    <w:rsid w:val="00635C59"/>
    <w:rsid w:val="00661DB2"/>
    <w:rsid w:val="00666683"/>
    <w:rsid w:val="00681438"/>
    <w:rsid w:val="00694285"/>
    <w:rsid w:val="006C660C"/>
    <w:rsid w:val="006C6B37"/>
    <w:rsid w:val="006E17C0"/>
    <w:rsid w:val="006E196B"/>
    <w:rsid w:val="00710BC3"/>
    <w:rsid w:val="00710F50"/>
    <w:rsid w:val="00711997"/>
    <w:rsid w:val="00722836"/>
    <w:rsid w:val="00731113"/>
    <w:rsid w:val="00743937"/>
    <w:rsid w:val="007712A2"/>
    <w:rsid w:val="00771C10"/>
    <w:rsid w:val="00792B23"/>
    <w:rsid w:val="00794E12"/>
    <w:rsid w:val="007A1E8A"/>
    <w:rsid w:val="007A5CF9"/>
    <w:rsid w:val="007A785B"/>
    <w:rsid w:val="007C2AFC"/>
    <w:rsid w:val="007D209F"/>
    <w:rsid w:val="007E1E21"/>
    <w:rsid w:val="007F283A"/>
    <w:rsid w:val="00815CBE"/>
    <w:rsid w:val="00816A18"/>
    <w:rsid w:val="00820121"/>
    <w:rsid w:val="00823671"/>
    <w:rsid w:val="00832B00"/>
    <w:rsid w:val="00851601"/>
    <w:rsid w:val="00853E07"/>
    <w:rsid w:val="00877744"/>
    <w:rsid w:val="008C6086"/>
    <w:rsid w:val="008F1D25"/>
    <w:rsid w:val="00901CF2"/>
    <w:rsid w:val="00916758"/>
    <w:rsid w:val="00924AB7"/>
    <w:rsid w:val="00941A77"/>
    <w:rsid w:val="00946105"/>
    <w:rsid w:val="009541D0"/>
    <w:rsid w:val="00961D0A"/>
    <w:rsid w:val="0098402E"/>
    <w:rsid w:val="009942FE"/>
    <w:rsid w:val="009A2E8B"/>
    <w:rsid w:val="009A6CCD"/>
    <w:rsid w:val="009B3673"/>
    <w:rsid w:val="009D5318"/>
    <w:rsid w:val="009E021D"/>
    <w:rsid w:val="009F5A3A"/>
    <w:rsid w:val="00A110B0"/>
    <w:rsid w:val="00A23EA6"/>
    <w:rsid w:val="00A33BEC"/>
    <w:rsid w:val="00A4518C"/>
    <w:rsid w:val="00A522ED"/>
    <w:rsid w:val="00A62D42"/>
    <w:rsid w:val="00A71D63"/>
    <w:rsid w:val="00A74889"/>
    <w:rsid w:val="00A751D4"/>
    <w:rsid w:val="00A95171"/>
    <w:rsid w:val="00AA60E9"/>
    <w:rsid w:val="00AA7355"/>
    <w:rsid w:val="00AB36F6"/>
    <w:rsid w:val="00AC3420"/>
    <w:rsid w:val="00B0009B"/>
    <w:rsid w:val="00B202CB"/>
    <w:rsid w:val="00B22522"/>
    <w:rsid w:val="00BC0A3E"/>
    <w:rsid w:val="00BD4FCD"/>
    <w:rsid w:val="00BD7B87"/>
    <w:rsid w:val="00BF13B0"/>
    <w:rsid w:val="00C27058"/>
    <w:rsid w:val="00C51E6A"/>
    <w:rsid w:val="00C52006"/>
    <w:rsid w:val="00C52CFB"/>
    <w:rsid w:val="00C54A59"/>
    <w:rsid w:val="00C63999"/>
    <w:rsid w:val="00C724BB"/>
    <w:rsid w:val="00C73730"/>
    <w:rsid w:val="00C7661D"/>
    <w:rsid w:val="00CB75F1"/>
    <w:rsid w:val="00CD5CF6"/>
    <w:rsid w:val="00CD67CA"/>
    <w:rsid w:val="00CE224E"/>
    <w:rsid w:val="00CF0BF5"/>
    <w:rsid w:val="00CF17DE"/>
    <w:rsid w:val="00D032A7"/>
    <w:rsid w:val="00D04B2B"/>
    <w:rsid w:val="00D06285"/>
    <w:rsid w:val="00D2265C"/>
    <w:rsid w:val="00D416BE"/>
    <w:rsid w:val="00D4564F"/>
    <w:rsid w:val="00D719E5"/>
    <w:rsid w:val="00D71C52"/>
    <w:rsid w:val="00DB24BA"/>
    <w:rsid w:val="00DF1D18"/>
    <w:rsid w:val="00E1082D"/>
    <w:rsid w:val="00E645A7"/>
    <w:rsid w:val="00E74A78"/>
    <w:rsid w:val="00EA06EC"/>
    <w:rsid w:val="00EA7E77"/>
    <w:rsid w:val="00EC16FB"/>
    <w:rsid w:val="00EC3529"/>
    <w:rsid w:val="00EC6D7D"/>
    <w:rsid w:val="00F15E9A"/>
    <w:rsid w:val="00F22F8A"/>
    <w:rsid w:val="00F35A30"/>
    <w:rsid w:val="00F4210E"/>
    <w:rsid w:val="00F52151"/>
    <w:rsid w:val="00F60AAB"/>
    <w:rsid w:val="00F74350"/>
    <w:rsid w:val="00F95FDD"/>
    <w:rsid w:val="00FA327D"/>
    <w:rsid w:val="00FB22A0"/>
    <w:rsid w:val="00FC44F5"/>
    <w:rsid w:val="00FF6AF6"/>
    <w:rsid w:val="011942F6"/>
    <w:rsid w:val="04F73057"/>
    <w:rsid w:val="05B065BF"/>
    <w:rsid w:val="071716A1"/>
    <w:rsid w:val="0722477D"/>
    <w:rsid w:val="07397665"/>
    <w:rsid w:val="07C07E0F"/>
    <w:rsid w:val="086B0FD4"/>
    <w:rsid w:val="0979691F"/>
    <w:rsid w:val="09B37E3C"/>
    <w:rsid w:val="0B672605"/>
    <w:rsid w:val="0C14559A"/>
    <w:rsid w:val="0DD7533A"/>
    <w:rsid w:val="0F5C0919"/>
    <w:rsid w:val="11812752"/>
    <w:rsid w:val="125A3BB8"/>
    <w:rsid w:val="129753D4"/>
    <w:rsid w:val="12ED456D"/>
    <w:rsid w:val="146B6DF7"/>
    <w:rsid w:val="155E5433"/>
    <w:rsid w:val="1724522A"/>
    <w:rsid w:val="1A7A71C2"/>
    <w:rsid w:val="1BF5469E"/>
    <w:rsid w:val="1DD95C1C"/>
    <w:rsid w:val="1E43495F"/>
    <w:rsid w:val="1FAD680E"/>
    <w:rsid w:val="204D3805"/>
    <w:rsid w:val="207433ED"/>
    <w:rsid w:val="24E732D6"/>
    <w:rsid w:val="25AB015C"/>
    <w:rsid w:val="26690B71"/>
    <w:rsid w:val="266C3B04"/>
    <w:rsid w:val="26BD42D2"/>
    <w:rsid w:val="26C2691A"/>
    <w:rsid w:val="27081AFF"/>
    <w:rsid w:val="27646362"/>
    <w:rsid w:val="278B3D0B"/>
    <w:rsid w:val="2EDD10B7"/>
    <w:rsid w:val="2F9A4BBB"/>
    <w:rsid w:val="2FAE2CC5"/>
    <w:rsid w:val="304C0F42"/>
    <w:rsid w:val="33C11F41"/>
    <w:rsid w:val="36A55036"/>
    <w:rsid w:val="3725473F"/>
    <w:rsid w:val="3B90429E"/>
    <w:rsid w:val="3BCF2EB1"/>
    <w:rsid w:val="3F7D2B6E"/>
    <w:rsid w:val="4286377E"/>
    <w:rsid w:val="44405BC5"/>
    <w:rsid w:val="49361838"/>
    <w:rsid w:val="49DA2A42"/>
    <w:rsid w:val="4B270294"/>
    <w:rsid w:val="4BAB0576"/>
    <w:rsid w:val="4C7E32F5"/>
    <w:rsid w:val="4C9B119E"/>
    <w:rsid w:val="4DFF3278"/>
    <w:rsid w:val="52683D68"/>
    <w:rsid w:val="53986DB1"/>
    <w:rsid w:val="54E90C79"/>
    <w:rsid w:val="54F71345"/>
    <w:rsid w:val="575823DC"/>
    <w:rsid w:val="598C487D"/>
    <w:rsid w:val="59A53BA0"/>
    <w:rsid w:val="59D002F3"/>
    <w:rsid w:val="5FDF7B9B"/>
    <w:rsid w:val="5FEE0646"/>
    <w:rsid w:val="6002799D"/>
    <w:rsid w:val="6079555E"/>
    <w:rsid w:val="624D4BEA"/>
    <w:rsid w:val="628C4A93"/>
    <w:rsid w:val="656C6885"/>
    <w:rsid w:val="65FC1403"/>
    <w:rsid w:val="66A61898"/>
    <w:rsid w:val="68C74B11"/>
    <w:rsid w:val="69875139"/>
    <w:rsid w:val="69A10E5E"/>
    <w:rsid w:val="6A2D4356"/>
    <w:rsid w:val="6AF4560D"/>
    <w:rsid w:val="6C0466E1"/>
    <w:rsid w:val="6DB16F3C"/>
    <w:rsid w:val="6E3D2240"/>
    <w:rsid w:val="6E6C080C"/>
    <w:rsid w:val="6E85149D"/>
    <w:rsid w:val="6EF56261"/>
    <w:rsid w:val="70650EA6"/>
    <w:rsid w:val="70825FAD"/>
    <w:rsid w:val="71653C64"/>
    <w:rsid w:val="71BF358A"/>
    <w:rsid w:val="74592BC8"/>
    <w:rsid w:val="761B7FC2"/>
    <w:rsid w:val="77E53965"/>
    <w:rsid w:val="7A4C7699"/>
    <w:rsid w:val="7B363FE1"/>
    <w:rsid w:val="7B49297B"/>
    <w:rsid w:val="7DC43376"/>
    <w:rsid w:val="7E53510E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iPriority="99" w:semiHidden="0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table" w:styleId="8">
    <w:name w:val="Table Grid"/>
    <w:basedOn w:val="7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fontstyle01"/>
    <w:basedOn w:val="5"/>
    <w:qFormat/>
    <w:uiPriority w:val="99"/>
    <w:rPr>
      <w:rFonts w:ascii="宋体" w:hAnsi="宋体" w:eastAsia="宋体" w:cs="宋体"/>
      <w:color w:val="000000"/>
      <w:sz w:val="36"/>
      <w:szCs w:val="36"/>
    </w:rPr>
  </w:style>
  <w:style w:type="character" w:customStyle="1" w:styleId="10">
    <w:name w:val="fontstyle21"/>
    <w:basedOn w:val="5"/>
    <w:qFormat/>
    <w:uiPriority w:val="99"/>
    <w:rPr>
      <w:rFonts w:ascii="TimesNewRomanPSMT" w:hAnsi="TimesNewRomanPSMT" w:cs="TimesNewRomanPSMT"/>
      <w:color w:val="000000"/>
      <w:sz w:val="18"/>
      <w:szCs w:val="18"/>
    </w:rPr>
  </w:style>
  <w:style w:type="character" w:customStyle="1" w:styleId="11">
    <w:name w:val="fontstyle11"/>
    <w:basedOn w:val="5"/>
    <w:qFormat/>
    <w:uiPriority w:val="99"/>
    <w:rPr>
      <w:rFonts w:ascii="??_GB2312" w:hAnsi="??_GB2312" w:cs="??_GB2312"/>
      <w:color w:val="000000"/>
      <w:sz w:val="32"/>
      <w:szCs w:val="32"/>
    </w:rPr>
  </w:style>
  <w:style w:type="paragraph" w:customStyle="1" w:styleId="12">
    <w:name w:val="段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kern w:val="0"/>
      <w:sz w:val="21"/>
      <w:szCs w:val="22"/>
      <w:lang w:val="en-US" w:eastAsia="zh-CN" w:bidi="ar-SA"/>
    </w:rPr>
  </w:style>
  <w:style w:type="character" w:customStyle="1" w:styleId="13">
    <w:name w:val="apple-converted-space"/>
    <w:basedOn w:val="5"/>
    <w:qFormat/>
    <w:uiPriority w:val="99"/>
    <w:rPr>
      <w:rFonts w:cs="Times New Roman"/>
    </w:rPr>
  </w:style>
  <w:style w:type="character" w:customStyle="1" w:styleId="14">
    <w:name w:val="Balloon Text Char"/>
    <w:basedOn w:val="5"/>
    <w:link w:val="3"/>
    <w:semiHidden/>
    <w:qFormat/>
    <w:locked/>
    <w:uiPriority w:val="99"/>
    <w:rPr>
      <w:rFonts w:ascii="Calibri" w:hAnsi="Calibri" w:cs="Times New Roman"/>
      <w:sz w:val="2"/>
    </w:rPr>
  </w:style>
  <w:style w:type="character" w:customStyle="1" w:styleId="15">
    <w:name w:val="二级条标题 Char Char"/>
    <w:basedOn w:val="5"/>
    <w:link w:val="16"/>
    <w:qFormat/>
    <w:locked/>
    <w:uiPriority w:val="99"/>
    <w:rPr>
      <w:rFonts w:ascii="黑体" w:eastAsia="黑体" w:cs="Times New Roman"/>
      <w:sz w:val="21"/>
      <w:szCs w:val="21"/>
      <w:lang w:val="en-US" w:eastAsia="zh-CN" w:bidi="ar-SA"/>
    </w:rPr>
  </w:style>
  <w:style w:type="paragraph" w:customStyle="1" w:styleId="16">
    <w:name w:val="二级条标题"/>
    <w:basedOn w:val="1"/>
    <w:next w:val="12"/>
    <w:link w:val="15"/>
    <w:qFormat/>
    <w:uiPriority w:val="99"/>
    <w:pPr>
      <w:widowControl/>
      <w:numPr>
        <w:ilvl w:val="2"/>
        <w:numId w:val="1"/>
      </w:numPr>
      <w:spacing w:before="50" w:after="50"/>
      <w:jc w:val="left"/>
      <w:outlineLvl w:val="3"/>
    </w:pPr>
    <w:rPr>
      <w:rFonts w:ascii="黑体" w:hAnsi="Times New Roman" w:eastAsia="黑体"/>
      <w:kern w:val="0"/>
      <w:szCs w:val="21"/>
    </w:rPr>
  </w:style>
  <w:style w:type="paragraph" w:customStyle="1" w:styleId="1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" w:hAnsi="Times New Roman" w:eastAsia="仿宋" w:cs="仿宋"/>
      <w:color w:val="000000"/>
      <w:kern w:val="0"/>
      <w:sz w:val="24"/>
      <w:szCs w:val="24"/>
      <w:lang w:val="en-US" w:eastAsia="zh-CN" w:bidi="ar-SA"/>
    </w:rPr>
  </w:style>
  <w:style w:type="character" w:customStyle="1" w:styleId="18">
    <w:name w:val="Footer Char"/>
    <w:basedOn w:val="5"/>
    <w:link w:val="4"/>
    <w:semiHidden/>
    <w:qFormat/>
    <w:locked/>
    <w:uiPriority w:val="99"/>
    <w:rPr>
      <w:rFonts w:ascii="Calibri" w:hAnsi="Calibri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8</Pages>
  <Words>604</Words>
  <Characters>3446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辛杨</cp:lastModifiedBy>
  <dcterms:modified xsi:type="dcterms:W3CDTF">2018-09-10T08:51:03Z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